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6E" w:rsidRPr="00CF165B" w:rsidRDefault="00831807" w:rsidP="00CF165B">
      <w:pPr>
        <w:pStyle w:val="Piedepgina"/>
        <w:ind w:left="1985"/>
        <w:jc w:val="both"/>
        <w:rPr>
          <w:rFonts w:ascii="Arial Narrow" w:hAnsi="Arial Narrow"/>
          <w:b/>
          <w:noProof/>
          <w:sz w:val="26"/>
          <w:szCs w:val="26"/>
          <w:u w:val="single"/>
          <w:lang w:val="es-ES"/>
        </w:rPr>
      </w:pPr>
      <w:r>
        <w:rPr>
          <w:rFonts w:ascii="Arial Narrow" w:hAnsi="Arial Narrow"/>
          <w:b/>
          <w:noProof/>
          <w:sz w:val="26"/>
          <w:szCs w:val="26"/>
          <w:u w:val="single"/>
          <w:lang w:val="es-ES"/>
        </w:rPr>
        <w:pict>
          <v:shapetype id="_x0000_t202" coordsize="21600,21600" o:spt="202" path="m,l,21600r21600,l21600,xe">
            <v:stroke joinstyle="miter"/>
            <v:path gradientshapeok="t" o:connecttype="rect"/>
          </v:shapetype>
          <v:shape id="Text Box 8" o:spid="_x0000_s1033" type="#_x0000_t202" style="position:absolute;left:0;text-align:left;margin-left:-2.85pt;margin-top:-11.35pt;width:63pt;height:29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" filled="f" stroked="f">
            <v:textbox style="layout-flow:vertical;mso-layout-flow-alt:bottom-to-top;mso-next-textbox:#Text Box 8">
              <w:txbxContent>
                <w:p w:rsidR="009A382B" w:rsidRDefault="009A382B" w:rsidP="009A382B">
                  <w:pPr>
                    <w:pStyle w:val="Ttulo4"/>
                    <w:jc w:val="left"/>
                    <w:rPr>
                      <w:color w:val="999999"/>
                    </w:rPr>
                  </w:pPr>
                  <w:r>
                    <w:rPr>
                      <w:color w:val="999999"/>
                    </w:rPr>
                    <w:t xml:space="preserve">Nota de Prensa </w:t>
                  </w:r>
                  <w:proofErr w:type="spellStart"/>
                  <w:r>
                    <w:rPr>
                      <w:color w:val="999999"/>
                    </w:rPr>
                    <w:t>PrensaPrensaComunicado</w:t>
                  </w:r>
                  <w:proofErr w:type="spellEnd"/>
                </w:p>
              </w:txbxContent>
            </v:textbox>
          </v:shape>
        </w:pict>
      </w:r>
      <w:r w:rsidR="008C593F" w:rsidRPr="00CF165B">
        <w:rPr>
          <w:rFonts w:ascii="Arial Narrow" w:hAnsi="Arial Narrow"/>
          <w:b/>
          <w:noProof/>
          <w:sz w:val="26"/>
          <w:szCs w:val="26"/>
          <w:u w:val="single"/>
          <w:lang w:val="es-ES"/>
        </w:rPr>
        <w:t>Comparecencia del secretario de Estado para las Administraciones Territoriales  en la Comisión de Presupuestos del Congreso de los Diputados</w:t>
      </w:r>
    </w:p>
    <w:p w:rsidR="00CA073A" w:rsidRDefault="00CA073A" w:rsidP="008C593F">
      <w:pPr>
        <w:pStyle w:val="Piedepgina"/>
        <w:ind w:left="1985"/>
        <w:rPr>
          <w:rFonts w:ascii="Arial Narrow" w:hAnsi="Arial Narrow"/>
          <w:b/>
          <w:noProof/>
          <w:sz w:val="2"/>
          <w:szCs w:val="2"/>
          <w:u w:val="single"/>
          <w:lang w:val="es-ES"/>
        </w:rPr>
      </w:pPr>
    </w:p>
    <w:p w:rsidR="00CA073A" w:rsidRDefault="00CA073A" w:rsidP="008C593F">
      <w:pPr>
        <w:pStyle w:val="Piedepgina"/>
        <w:ind w:left="1985"/>
        <w:rPr>
          <w:rFonts w:ascii="Arial Narrow" w:hAnsi="Arial Narrow"/>
          <w:b/>
          <w:noProof/>
          <w:sz w:val="2"/>
          <w:szCs w:val="2"/>
          <w:u w:val="single"/>
          <w:lang w:val="es-ES"/>
        </w:rPr>
      </w:pPr>
    </w:p>
    <w:p w:rsidR="00CA073A" w:rsidRDefault="00CA073A" w:rsidP="008C593F">
      <w:pPr>
        <w:pStyle w:val="Piedepgina"/>
        <w:ind w:left="1985"/>
        <w:rPr>
          <w:rFonts w:ascii="Arial Narrow" w:hAnsi="Arial Narrow"/>
          <w:b/>
          <w:noProof/>
          <w:sz w:val="2"/>
          <w:szCs w:val="2"/>
          <w:u w:val="single"/>
          <w:lang w:val="es-ES"/>
        </w:rPr>
      </w:pPr>
    </w:p>
    <w:p w:rsidR="00CA073A" w:rsidRDefault="00CA073A" w:rsidP="008C593F">
      <w:pPr>
        <w:pStyle w:val="Piedepgina"/>
        <w:ind w:left="1985"/>
        <w:rPr>
          <w:rFonts w:ascii="Arial Narrow" w:hAnsi="Arial Narrow"/>
          <w:b/>
          <w:noProof/>
          <w:sz w:val="2"/>
          <w:szCs w:val="2"/>
          <w:u w:val="single"/>
          <w:lang w:val="es-ES"/>
        </w:rPr>
      </w:pPr>
    </w:p>
    <w:p w:rsidR="00CA073A" w:rsidRDefault="00CA073A" w:rsidP="008C593F">
      <w:pPr>
        <w:pStyle w:val="Piedepgina"/>
        <w:ind w:left="1985"/>
        <w:rPr>
          <w:rFonts w:ascii="Arial Narrow" w:hAnsi="Arial Narrow"/>
          <w:b/>
          <w:noProof/>
          <w:sz w:val="2"/>
          <w:szCs w:val="2"/>
          <w:u w:val="single"/>
          <w:lang w:val="es-ES"/>
        </w:rPr>
      </w:pPr>
    </w:p>
    <w:p w:rsidR="00CA073A" w:rsidRDefault="00CA073A" w:rsidP="008C593F">
      <w:pPr>
        <w:pStyle w:val="Piedepgina"/>
        <w:ind w:left="1985"/>
        <w:rPr>
          <w:rFonts w:ascii="Arial Narrow" w:hAnsi="Arial Narrow"/>
          <w:b/>
          <w:noProof/>
          <w:sz w:val="2"/>
          <w:szCs w:val="2"/>
          <w:u w:val="single"/>
          <w:lang w:val="es-ES"/>
        </w:rPr>
      </w:pPr>
    </w:p>
    <w:p w:rsidR="00BC1E4C" w:rsidRDefault="00BC1E4C" w:rsidP="008C593F">
      <w:pPr>
        <w:pStyle w:val="Piedepgina"/>
        <w:ind w:left="1985"/>
        <w:rPr>
          <w:rFonts w:ascii="Arial Narrow" w:hAnsi="Arial Narrow"/>
          <w:b/>
          <w:noProof/>
          <w:sz w:val="2"/>
          <w:szCs w:val="2"/>
          <w:u w:val="single"/>
          <w:lang w:val="es-ES"/>
        </w:rPr>
      </w:pPr>
    </w:p>
    <w:p w:rsidR="00BC1E4C" w:rsidRDefault="00BC1E4C" w:rsidP="008C593F">
      <w:pPr>
        <w:pStyle w:val="Piedepgina"/>
        <w:ind w:left="1985"/>
        <w:rPr>
          <w:rFonts w:ascii="Arial Narrow" w:hAnsi="Arial Narrow"/>
          <w:b/>
          <w:noProof/>
          <w:sz w:val="2"/>
          <w:szCs w:val="2"/>
          <w:u w:val="single"/>
          <w:lang w:val="es-ES"/>
        </w:rPr>
      </w:pPr>
    </w:p>
    <w:p w:rsidR="00CA073A" w:rsidRPr="00CA073A" w:rsidRDefault="00CA073A" w:rsidP="008C593F">
      <w:pPr>
        <w:pStyle w:val="Piedepgina"/>
        <w:ind w:left="1985"/>
        <w:rPr>
          <w:rFonts w:ascii="Arial Narrow" w:hAnsi="Arial Narrow"/>
          <w:b/>
          <w:noProof/>
          <w:sz w:val="2"/>
          <w:szCs w:val="2"/>
          <w:u w:val="single"/>
          <w:lang w:val="es-ES"/>
        </w:rPr>
      </w:pPr>
    </w:p>
    <w:p w:rsidR="008C593F" w:rsidRPr="00DC5D8F" w:rsidRDefault="00BC1E4C" w:rsidP="008C593F">
      <w:pPr>
        <w:pStyle w:val="Piedepgina"/>
        <w:ind w:left="1985"/>
        <w:rPr>
          <w:rFonts w:ascii="Arial Narrow" w:hAnsi="Arial Narrow"/>
          <w:b/>
          <w:noProof/>
          <w:sz w:val="46"/>
          <w:szCs w:val="46"/>
          <w:lang w:val="es-ES"/>
        </w:rPr>
      </w:pPr>
      <w:r w:rsidRPr="00DC5D8F">
        <w:rPr>
          <w:rFonts w:ascii="Arial Narrow" w:hAnsi="Arial Narrow"/>
          <w:b/>
          <w:noProof/>
          <w:sz w:val="46"/>
          <w:szCs w:val="46"/>
          <w:lang w:val="es-ES"/>
        </w:rPr>
        <w:t xml:space="preserve">Roberto </w:t>
      </w:r>
      <w:r w:rsidR="008C593F" w:rsidRPr="00DC5D8F">
        <w:rPr>
          <w:rFonts w:ascii="Arial Narrow" w:hAnsi="Arial Narrow"/>
          <w:b/>
          <w:noProof/>
          <w:sz w:val="46"/>
          <w:szCs w:val="46"/>
          <w:lang w:val="es-ES"/>
        </w:rPr>
        <w:t xml:space="preserve">Bermúdez de Castro destaca la responsabilidad compartida del Gobierno y las Administraciones </w:t>
      </w:r>
      <w:r w:rsidR="00CF165B" w:rsidRPr="00DC5D8F">
        <w:rPr>
          <w:rFonts w:ascii="Arial Narrow" w:hAnsi="Arial Narrow"/>
          <w:b/>
          <w:noProof/>
          <w:sz w:val="46"/>
          <w:szCs w:val="46"/>
          <w:lang w:val="es-ES"/>
        </w:rPr>
        <w:t>t</w:t>
      </w:r>
      <w:r w:rsidR="008C593F" w:rsidRPr="00DC5D8F">
        <w:rPr>
          <w:rFonts w:ascii="Arial Narrow" w:hAnsi="Arial Narrow"/>
          <w:b/>
          <w:noProof/>
          <w:sz w:val="46"/>
          <w:szCs w:val="46"/>
          <w:lang w:val="es-ES"/>
        </w:rPr>
        <w:t xml:space="preserve">erritoriales </w:t>
      </w:r>
      <w:r w:rsidR="00DC5D8F" w:rsidRPr="00DC5D8F">
        <w:rPr>
          <w:rFonts w:ascii="Arial Narrow" w:hAnsi="Arial Narrow"/>
          <w:b/>
          <w:noProof/>
          <w:sz w:val="46"/>
          <w:szCs w:val="46"/>
          <w:lang w:val="es-ES"/>
        </w:rPr>
        <w:t xml:space="preserve">que </w:t>
      </w:r>
      <w:r w:rsidR="008C593F" w:rsidRPr="00DC5D8F">
        <w:rPr>
          <w:rFonts w:ascii="Arial Narrow" w:hAnsi="Arial Narrow"/>
          <w:b/>
          <w:noProof/>
          <w:sz w:val="46"/>
          <w:szCs w:val="46"/>
          <w:lang w:val="es-ES"/>
        </w:rPr>
        <w:t>ha permitido superar la crisis, sanear las cuentas públicas y afrontar las reformas para seguir creciendo</w:t>
      </w:r>
    </w:p>
    <w:p w:rsidR="008C593F" w:rsidRDefault="008C593F"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
          <w:szCs w:val="2"/>
          <w:u w:val="single"/>
          <w:lang w:val="es-ES"/>
        </w:rPr>
      </w:pPr>
    </w:p>
    <w:p w:rsidR="00F94BF8" w:rsidRDefault="00F94BF8" w:rsidP="009A382B">
      <w:pPr>
        <w:pStyle w:val="Piedepgina"/>
        <w:ind w:left="2127"/>
        <w:rPr>
          <w:rFonts w:ascii="Arial Narrow" w:hAnsi="Arial Narrow"/>
          <w:b/>
          <w:noProof/>
          <w:sz w:val="28"/>
          <w:szCs w:val="28"/>
          <w:u w:val="single"/>
          <w:lang w:val="es-ES"/>
        </w:rPr>
      </w:pPr>
    </w:p>
    <w:p w:rsidR="00E01D40" w:rsidRPr="000F5E41" w:rsidRDefault="00E01D40" w:rsidP="00F94BF8">
      <w:pPr>
        <w:pStyle w:val="Piedepgina"/>
        <w:numPr>
          <w:ilvl w:val="0"/>
          <w:numId w:val="33"/>
        </w:numPr>
        <w:ind w:left="2268" w:hanging="283"/>
        <w:jc w:val="both"/>
        <w:rPr>
          <w:rFonts w:ascii="Arial Narrow" w:hAnsi="Arial Narrow"/>
          <w:b/>
          <w:noProof/>
          <w:sz w:val="28"/>
          <w:szCs w:val="28"/>
          <w:lang w:val="es-ES"/>
        </w:rPr>
      </w:pPr>
      <w:r w:rsidRPr="000F5E41">
        <w:rPr>
          <w:rFonts w:ascii="Arial Narrow" w:hAnsi="Arial Narrow"/>
          <w:b/>
          <w:noProof/>
          <w:sz w:val="28"/>
          <w:szCs w:val="28"/>
          <w:lang w:val="es-ES"/>
        </w:rPr>
        <w:t xml:space="preserve">La Secretaría de Estado para las Administraciones Territoriales </w:t>
      </w:r>
      <w:r w:rsidR="00CA073A" w:rsidRPr="000F5E41">
        <w:rPr>
          <w:rFonts w:ascii="Arial Narrow" w:hAnsi="Arial Narrow"/>
          <w:b/>
          <w:noProof/>
          <w:sz w:val="28"/>
          <w:szCs w:val="28"/>
          <w:lang w:val="es-ES"/>
        </w:rPr>
        <w:t xml:space="preserve">cuenta con un presupuesto de 300 millones de euros, </w:t>
      </w:r>
      <w:r w:rsidR="00F94BF8">
        <w:rPr>
          <w:rFonts w:ascii="Arial Narrow" w:hAnsi="Arial Narrow"/>
          <w:b/>
          <w:noProof/>
          <w:sz w:val="28"/>
          <w:szCs w:val="28"/>
          <w:lang w:val="es-ES"/>
        </w:rPr>
        <w:t>de los que</w:t>
      </w:r>
      <w:r w:rsidR="00CA073A" w:rsidRPr="000F5E41">
        <w:rPr>
          <w:rFonts w:ascii="Arial Narrow" w:hAnsi="Arial Narrow"/>
          <w:b/>
          <w:noProof/>
          <w:sz w:val="28"/>
          <w:szCs w:val="28"/>
          <w:lang w:val="es-ES"/>
        </w:rPr>
        <w:t xml:space="preserve"> 2</w:t>
      </w:r>
      <w:r w:rsidR="00BC1E4C">
        <w:rPr>
          <w:rFonts w:ascii="Arial Narrow" w:hAnsi="Arial Narrow"/>
          <w:b/>
          <w:noProof/>
          <w:sz w:val="28"/>
          <w:szCs w:val="28"/>
          <w:lang w:val="es-ES"/>
        </w:rPr>
        <w:t xml:space="preserve">60 </w:t>
      </w:r>
      <w:r w:rsidR="005C2BDB">
        <w:rPr>
          <w:rFonts w:ascii="Arial Narrow" w:hAnsi="Arial Narrow"/>
          <w:b/>
          <w:noProof/>
          <w:sz w:val="28"/>
          <w:szCs w:val="28"/>
          <w:lang w:val="es-ES"/>
        </w:rPr>
        <w:t xml:space="preserve">millones </w:t>
      </w:r>
      <w:r w:rsidR="00CA073A" w:rsidRPr="000F5E41">
        <w:rPr>
          <w:rFonts w:ascii="Arial Narrow" w:hAnsi="Arial Narrow"/>
          <w:b/>
          <w:noProof/>
          <w:sz w:val="28"/>
          <w:szCs w:val="28"/>
          <w:lang w:val="es-ES"/>
        </w:rPr>
        <w:t>(</w:t>
      </w:r>
      <w:r w:rsidR="00BC1E4C">
        <w:rPr>
          <w:rFonts w:ascii="Arial Narrow" w:hAnsi="Arial Narrow"/>
          <w:b/>
          <w:noProof/>
          <w:sz w:val="28"/>
          <w:szCs w:val="28"/>
          <w:lang w:val="es-ES"/>
        </w:rPr>
        <w:t>87</w:t>
      </w:r>
      <w:r w:rsidR="00CA073A" w:rsidRPr="000F5E41">
        <w:rPr>
          <w:rFonts w:ascii="Arial Narrow" w:hAnsi="Arial Narrow"/>
          <w:b/>
          <w:noProof/>
          <w:sz w:val="28"/>
          <w:szCs w:val="28"/>
          <w:lang w:val="es-ES"/>
        </w:rPr>
        <w:t xml:space="preserve">%) </w:t>
      </w:r>
      <w:r w:rsidR="00F94BF8">
        <w:rPr>
          <w:rFonts w:ascii="Arial Narrow" w:hAnsi="Arial Narrow"/>
          <w:b/>
          <w:noProof/>
          <w:sz w:val="28"/>
          <w:szCs w:val="28"/>
          <w:lang w:val="es-ES"/>
        </w:rPr>
        <w:t>se destina</w:t>
      </w:r>
      <w:r w:rsidR="00CF165B">
        <w:rPr>
          <w:rFonts w:ascii="Arial Narrow" w:hAnsi="Arial Narrow"/>
          <w:b/>
          <w:noProof/>
          <w:sz w:val="28"/>
          <w:szCs w:val="28"/>
          <w:lang w:val="es-ES"/>
        </w:rPr>
        <w:t>n</w:t>
      </w:r>
      <w:r w:rsidR="00CA073A" w:rsidRPr="000F5E41">
        <w:rPr>
          <w:rFonts w:ascii="Arial Narrow" w:hAnsi="Arial Narrow"/>
          <w:b/>
          <w:noProof/>
          <w:sz w:val="28"/>
          <w:szCs w:val="28"/>
          <w:lang w:val="es-ES"/>
        </w:rPr>
        <w:t xml:space="preserve"> a la Administración Periférica del Estado</w:t>
      </w:r>
    </w:p>
    <w:p w:rsidR="00CA073A" w:rsidRDefault="00CA073A"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5C2BDB" w:rsidRDefault="005C2BDB"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Default="00F94BF8" w:rsidP="00F94BF8">
      <w:pPr>
        <w:pStyle w:val="Piedepgina"/>
        <w:ind w:left="2268" w:hanging="283"/>
        <w:jc w:val="both"/>
        <w:rPr>
          <w:rFonts w:ascii="Arial Narrow" w:hAnsi="Arial Narrow"/>
          <w:b/>
          <w:noProof/>
          <w:sz w:val="2"/>
          <w:szCs w:val="2"/>
          <w:lang w:val="es-ES"/>
        </w:rPr>
      </w:pPr>
    </w:p>
    <w:p w:rsidR="00F94BF8" w:rsidRPr="00F94BF8" w:rsidRDefault="00F94BF8" w:rsidP="00F94BF8">
      <w:pPr>
        <w:pStyle w:val="Piedepgina"/>
        <w:ind w:left="2268" w:hanging="283"/>
        <w:jc w:val="both"/>
        <w:rPr>
          <w:rFonts w:ascii="Arial Narrow" w:hAnsi="Arial Narrow"/>
          <w:b/>
          <w:noProof/>
          <w:sz w:val="2"/>
          <w:szCs w:val="2"/>
          <w:lang w:val="es-ES"/>
        </w:rPr>
      </w:pPr>
    </w:p>
    <w:p w:rsidR="00CA073A" w:rsidRDefault="00F94BF8" w:rsidP="00F94BF8">
      <w:pPr>
        <w:pStyle w:val="Piedepgina"/>
        <w:numPr>
          <w:ilvl w:val="0"/>
          <w:numId w:val="33"/>
        </w:numPr>
        <w:ind w:left="2268" w:hanging="283"/>
        <w:jc w:val="both"/>
        <w:rPr>
          <w:rFonts w:ascii="Arial Narrow" w:hAnsi="Arial Narrow"/>
          <w:b/>
          <w:noProof/>
          <w:sz w:val="28"/>
          <w:szCs w:val="28"/>
          <w:lang w:val="es-ES"/>
        </w:rPr>
      </w:pPr>
      <w:r>
        <w:rPr>
          <w:rFonts w:ascii="Arial Narrow" w:hAnsi="Arial Narrow"/>
          <w:b/>
          <w:noProof/>
          <w:sz w:val="28"/>
          <w:szCs w:val="28"/>
          <w:lang w:val="es-ES"/>
        </w:rPr>
        <w:t>La Secretaría de Estado ta</w:t>
      </w:r>
      <w:r w:rsidR="00CA073A" w:rsidRPr="000F5E41">
        <w:rPr>
          <w:rFonts w:ascii="Arial Narrow" w:hAnsi="Arial Narrow"/>
          <w:b/>
          <w:noProof/>
          <w:sz w:val="28"/>
          <w:szCs w:val="28"/>
          <w:lang w:val="es-ES"/>
        </w:rPr>
        <w:t xml:space="preserve">mbién gestionará </w:t>
      </w:r>
      <w:r w:rsidR="00F9426E">
        <w:rPr>
          <w:rFonts w:ascii="Arial Narrow" w:hAnsi="Arial Narrow"/>
          <w:b/>
          <w:noProof/>
          <w:sz w:val="28"/>
          <w:szCs w:val="28"/>
          <w:lang w:val="es-ES"/>
        </w:rPr>
        <w:t>845</w:t>
      </w:r>
      <w:r w:rsidR="00CA073A" w:rsidRPr="000F5E41">
        <w:rPr>
          <w:rFonts w:ascii="Arial Narrow" w:hAnsi="Arial Narrow"/>
          <w:b/>
          <w:noProof/>
          <w:sz w:val="28"/>
          <w:szCs w:val="28"/>
          <w:lang w:val="es-ES"/>
        </w:rPr>
        <w:t xml:space="preserve"> millones procedentes de los fondos europeos (FEDER y FSE) </w:t>
      </w:r>
      <w:r>
        <w:rPr>
          <w:rFonts w:ascii="Arial Narrow" w:hAnsi="Arial Narrow"/>
          <w:b/>
          <w:noProof/>
          <w:sz w:val="28"/>
          <w:szCs w:val="28"/>
          <w:lang w:val="es-ES"/>
        </w:rPr>
        <w:t>destinados a</w:t>
      </w:r>
      <w:r w:rsidR="000F5E41" w:rsidRPr="000F5E41">
        <w:rPr>
          <w:rFonts w:ascii="Arial Narrow" w:hAnsi="Arial Narrow"/>
          <w:b/>
          <w:noProof/>
          <w:sz w:val="28"/>
          <w:szCs w:val="28"/>
          <w:lang w:val="es-ES"/>
        </w:rPr>
        <w:t xml:space="preserve"> inversiones de las EELL y a </w:t>
      </w:r>
      <w:r w:rsidR="00BC1E4C">
        <w:rPr>
          <w:rFonts w:ascii="Arial Narrow" w:hAnsi="Arial Narrow"/>
          <w:b/>
          <w:noProof/>
          <w:sz w:val="28"/>
          <w:szCs w:val="28"/>
          <w:lang w:val="es-ES"/>
        </w:rPr>
        <w:t xml:space="preserve">programas </w:t>
      </w:r>
      <w:r w:rsidR="00CF165B">
        <w:rPr>
          <w:rFonts w:ascii="Arial Narrow" w:hAnsi="Arial Narrow"/>
          <w:b/>
          <w:noProof/>
          <w:sz w:val="28"/>
          <w:szCs w:val="28"/>
          <w:lang w:val="es-ES"/>
        </w:rPr>
        <w:t>para</w:t>
      </w:r>
      <w:r w:rsidR="00BC1E4C">
        <w:rPr>
          <w:rFonts w:ascii="Arial Narrow" w:hAnsi="Arial Narrow"/>
          <w:b/>
          <w:noProof/>
          <w:sz w:val="28"/>
          <w:szCs w:val="28"/>
          <w:lang w:val="es-ES"/>
        </w:rPr>
        <w:t xml:space="preserve"> </w:t>
      </w:r>
      <w:r w:rsidR="000F5E41" w:rsidRPr="000F5E41">
        <w:rPr>
          <w:rFonts w:ascii="Arial Narrow" w:hAnsi="Arial Narrow"/>
          <w:b/>
          <w:noProof/>
          <w:sz w:val="28"/>
          <w:szCs w:val="28"/>
          <w:lang w:val="es-ES"/>
        </w:rPr>
        <w:t>personas en situación o riesgo d</w:t>
      </w:r>
      <w:r>
        <w:rPr>
          <w:rFonts w:ascii="Arial Narrow" w:hAnsi="Arial Narrow"/>
          <w:b/>
          <w:noProof/>
          <w:sz w:val="28"/>
          <w:szCs w:val="28"/>
          <w:lang w:val="es-ES"/>
        </w:rPr>
        <w:t>e</w:t>
      </w:r>
      <w:r w:rsidR="000F5E41" w:rsidRPr="000F5E41">
        <w:rPr>
          <w:rFonts w:ascii="Arial Narrow" w:hAnsi="Arial Narrow"/>
          <w:b/>
          <w:noProof/>
          <w:sz w:val="28"/>
          <w:szCs w:val="28"/>
          <w:lang w:val="es-ES"/>
        </w:rPr>
        <w:t xml:space="preserve"> exclusión social</w:t>
      </w:r>
    </w:p>
    <w:p w:rsidR="00CF165B" w:rsidRDefault="00CF165B" w:rsidP="00CF165B">
      <w:pPr>
        <w:pStyle w:val="Piedepgina"/>
        <w:ind w:left="2268"/>
        <w:jc w:val="both"/>
        <w:rPr>
          <w:rFonts w:ascii="Arial Narrow" w:hAnsi="Arial Narrow"/>
          <w:b/>
          <w:noProof/>
          <w:sz w:val="28"/>
          <w:szCs w:val="28"/>
          <w:lang w:val="es-ES"/>
        </w:rPr>
      </w:pPr>
    </w:p>
    <w:p w:rsidR="00CF165B" w:rsidRPr="000F5E41" w:rsidRDefault="00CF165B" w:rsidP="00F94BF8">
      <w:pPr>
        <w:pStyle w:val="Piedepgina"/>
        <w:numPr>
          <w:ilvl w:val="0"/>
          <w:numId w:val="33"/>
        </w:numPr>
        <w:ind w:left="2268" w:hanging="283"/>
        <w:jc w:val="both"/>
        <w:rPr>
          <w:rFonts w:ascii="Arial Narrow" w:hAnsi="Arial Narrow"/>
          <w:b/>
          <w:noProof/>
          <w:sz w:val="28"/>
          <w:szCs w:val="28"/>
          <w:lang w:val="es-ES"/>
        </w:rPr>
      </w:pPr>
      <w:r>
        <w:rPr>
          <w:rFonts w:ascii="Arial Narrow" w:hAnsi="Arial Narrow"/>
          <w:b/>
          <w:noProof/>
          <w:sz w:val="28"/>
          <w:szCs w:val="28"/>
          <w:lang w:val="es-ES"/>
        </w:rPr>
        <w:t xml:space="preserve">Teruel volverá a contar con 30 millones </w:t>
      </w:r>
      <w:r w:rsidR="005C2BDB">
        <w:rPr>
          <w:rFonts w:ascii="Arial Narrow" w:hAnsi="Arial Narrow"/>
          <w:b/>
          <w:noProof/>
          <w:sz w:val="28"/>
          <w:szCs w:val="28"/>
          <w:lang w:val="es-ES"/>
        </w:rPr>
        <w:t>que, con</w:t>
      </w:r>
      <w:r>
        <w:rPr>
          <w:rFonts w:ascii="Arial Narrow" w:hAnsi="Arial Narrow"/>
          <w:b/>
          <w:noProof/>
          <w:sz w:val="28"/>
          <w:szCs w:val="28"/>
          <w:lang w:val="es-ES"/>
        </w:rPr>
        <w:t xml:space="preserve"> los 30 millones que aportará Aragón, sumarán 60 millones para inversiones en la provincia</w:t>
      </w:r>
    </w:p>
    <w:p w:rsidR="00A8386E" w:rsidRDefault="00A8386E" w:rsidP="009A382B">
      <w:pPr>
        <w:pStyle w:val="Piedepgina"/>
        <w:ind w:left="2127"/>
        <w:rPr>
          <w:rFonts w:ascii="Arial Narrow" w:hAnsi="Arial Narrow"/>
          <w:b/>
          <w:noProof/>
          <w:sz w:val="2"/>
          <w:szCs w:val="2"/>
          <w:u w:val="single"/>
          <w:lang w:val="es-ES"/>
        </w:rPr>
      </w:pPr>
    </w:p>
    <w:p w:rsidR="00A8386E" w:rsidRDefault="00A8386E" w:rsidP="009A382B">
      <w:pPr>
        <w:pStyle w:val="Piedepgina"/>
        <w:ind w:left="2127"/>
        <w:rPr>
          <w:rFonts w:ascii="Arial Narrow" w:hAnsi="Arial Narrow"/>
          <w:b/>
          <w:noProof/>
          <w:sz w:val="2"/>
          <w:szCs w:val="2"/>
          <w:u w:val="single"/>
          <w:lang w:val="es-ES"/>
        </w:rPr>
      </w:pPr>
    </w:p>
    <w:p w:rsidR="00A8386E" w:rsidRDefault="00A8386E" w:rsidP="009A382B">
      <w:pPr>
        <w:pStyle w:val="Piedepgina"/>
        <w:ind w:left="2127"/>
        <w:rPr>
          <w:rFonts w:ascii="Arial Narrow" w:hAnsi="Arial Narrow"/>
          <w:b/>
          <w:noProof/>
          <w:sz w:val="2"/>
          <w:szCs w:val="2"/>
          <w:u w:val="single"/>
          <w:lang w:val="es-ES"/>
        </w:rPr>
      </w:pPr>
    </w:p>
    <w:p w:rsidR="00A8386E" w:rsidRDefault="00A8386E" w:rsidP="009A382B">
      <w:pPr>
        <w:pStyle w:val="Piedepgina"/>
        <w:ind w:left="2127"/>
        <w:rPr>
          <w:rFonts w:ascii="Arial Narrow" w:hAnsi="Arial Narrow"/>
          <w:b/>
          <w:noProof/>
          <w:sz w:val="2"/>
          <w:szCs w:val="2"/>
          <w:u w:val="single"/>
          <w:lang w:val="es-ES"/>
        </w:rPr>
      </w:pPr>
    </w:p>
    <w:p w:rsidR="00A8386E" w:rsidRPr="00A8386E" w:rsidRDefault="00A8386E" w:rsidP="009A382B">
      <w:pPr>
        <w:pStyle w:val="Piedepgina"/>
        <w:ind w:left="2127"/>
        <w:rPr>
          <w:rFonts w:ascii="Arial Narrow" w:hAnsi="Arial Narrow"/>
          <w:b/>
          <w:noProof/>
          <w:sz w:val="2"/>
          <w:szCs w:val="2"/>
          <w:u w:val="single"/>
          <w:lang w:val="es-ES"/>
        </w:rPr>
      </w:pPr>
    </w:p>
    <w:p w:rsidR="009C6577" w:rsidRDefault="009C6577"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F94BF8" w:rsidRDefault="00F94BF8" w:rsidP="009A382B">
      <w:pPr>
        <w:pStyle w:val="Piedepgina"/>
        <w:ind w:left="2127"/>
        <w:rPr>
          <w:rFonts w:ascii="Arial Narrow" w:hAnsi="Arial Narrow"/>
          <w:b/>
          <w:sz w:val="2"/>
          <w:szCs w:val="2"/>
          <w:lang w:val="es-ES"/>
        </w:rPr>
      </w:pPr>
    </w:p>
    <w:p w:rsidR="00F94BF8" w:rsidRDefault="00F94BF8" w:rsidP="009A382B">
      <w:pPr>
        <w:pStyle w:val="Piedepgina"/>
        <w:ind w:left="2127"/>
        <w:rPr>
          <w:rFonts w:ascii="Arial Narrow" w:hAnsi="Arial Narrow"/>
          <w:b/>
          <w:sz w:val="2"/>
          <w:szCs w:val="2"/>
          <w:lang w:val="es-ES"/>
        </w:rPr>
      </w:pPr>
    </w:p>
    <w:p w:rsidR="009C6577" w:rsidRDefault="009C6577" w:rsidP="009A382B">
      <w:pPr>
        <w:pStyle w:val="Piedepgina"/>
        <w:ind w:left="2127"/>
        <w:rPr>
          <w:rFonts w:ascii="Arial Narrow" w:hAnsi="Arial Narrow"/>
          <w:b/>
          <w:sz w:val="2"/>
          <w:szCs w:val="2"/>
          <w:lang w:val="es-ES"/>
        </w:rPr>
      </w:pPr>
    </w:p>
    <w:p w:rsidR="005C2BDB" w:rsidRDefault="005C2BDB" w:rsidP="009A382B">
      <w:pPr>
        <w:pStyle w:val="Piedepgina"/>
        <w:ind w:left="2127"/>
        <w:rPr>
          <w:rFonts w:ascii="Arial Narrow" w:hAnsi="Arial Narrow"/>
          <w:b/>
          <w:sz w:val="2"/>
          <w:szCs w:val="2"/>
          <w:lang w:val="es-ES"/>
        </w:rPr>
      </w:pPr>
    </w:p>
    <w:p w:rsidR="005C2BDB" w:rsidRDefault="005C2BDB" w:rsidP="009A382B">
      <w:pPr>
        <w:pStyle w:val="Piedepgina"/>
        <w:ind w:left="2127"/>
        <w:rPr>
          <w:rFonts w:ascii="Arial Narrow" w:hAnsi="Arial Narrow"/>
          <w:b/>
          <w:sz w:val="2"/>
          <w:szCs w:val="2"/>
          <w:lang w:val="es-ES"/>
        </w:rPr>
      </w:pPr>
    </w:p>
    <w:p w:rsidR="005C2BDB" w:rsidRDefault="005C2BDB" w:rsidP="009A382B">
      <w:pPr>
        <w:pStyle w:val="Piedepgina"/>
        <w:ind w:left="2127"/>
        <w:rPr>
          <w:rFonts w:ascii="Arial Narrow" w:hAnsi="Arial Narrow"/>
          <w:b/>
          <w:sz w:val="2"/>
          <w:szCs w:val="2"/>
          <w:lang w:val="es-ES"/>
        </w:rPr>
      </w:pPr>
    </w:p>
    <w:p w:rsidR="009C6577" w:rsidRDefault="009C6577"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Pr="0056159E" w:rsidRDefault="009A382B" w:rsidP="009A382B">
      <w:pPr>
        <w:pStyle w:val="Piedepgina"/>
        <w:ind w:left="2127"/>
        <w:rPr>
          <w:rFonts w:ascii="Arial Narrow" w:hAnsi="Arial Narrow"/>
          <w:b/>
          <w:sz w:val="2"/>
          <w:szCs w:val="2"/>
          <w:lang w:val="es-ES"/>
        </w:rPr>
      </w:pPr>
    </w:p>
    <w:p w:rsidR="009A382B" w:rsidRDefault="009A382B" w:rsidP="009A382B">
      <w:pPr>
        <w:pStyle w:val="Prrafodelista"/>
        <w:ind w:left="2410"/>
        <w:jc w:val="both"/>
        <w:rPr>
          <w:rFonts w:ascii="Arial Narrow" w:hAnsi="Arial Narrow"/>
          <w:b/>
          <w:sz w:val="2"/>
          <w:szCs w:val="2"/>
          <w:lang w:val="es-ES_tradnl"/>
        </w:rPr>
      </w:pPr>
    </w:p>
    <w:p w:rsidR="009A382B" w:rsidRDefault="009A382B" w:rsidP="009A382B">
      <w:pPr>
        <w:pStyle w:val="Prrafodelista"/>
        <w:ind w:left="2410"/>
        <w:jc w:val="both"/>
        <w:rPr>
          <w:rFonts w:ascii="Arial Narrow" w:hAnsi="Arial Narrow"/>
          <w:b/>
          <w:sz w:val="2"/>
          <w:szCs w:val="2"/>
          <w:lang w:val="es-ES_tradnl"/>
        </w:rPr>
      </w:pPr>
    </w:p>
    <w:p w:rsidR="009A382B" w:rsidRPr="009A382B" w:rsidRDefault="009A382B" w:rsidP="009A382B">
      <w:pPr>
        <w:pStyle w:val="Prrafodelista"/>
        <w:ind w:left="2410"/>
        <w:jc w:val="both"/>
        <w:rPr>
          <w:rFonts w:ascii="Arial Narrow" w:hAnsi="Arial Narrow"/>
          <w:b/>
          <w:sz w:val="2"/>
          <w:szCs w:val="2"/>
          <w:lang w:val="es-ES_tradnl"/>
        </w:rPr>
      </w:pPr>
    </w:p>
    <w:p w:rsidR="009A382B" w:rsidRDefault="000F5E41" w:rsidP="00076198">
      <w:pPr>
        <w:pStyle w:val="Piedepgina"/>
        <w:ind w:left="2127"/>
        <w:jc w:val="both"/>
        <w:rPr>
          <w:rFonts w:ascii="Arial Narrow" w:hAnsi="Arial Narrow"/>
          <w:sz w:val="28"/>
          <w:szCs w:val="28"/>
          <w:lang w:val="es-ES"/>
        </w:rPr>
      </w:pPr>
      <w:r>
        <w:rPr>
          <w:rFonts w:ascii="Arial Narrow" w:hAnsi="Arial Narrow"/>
          <w:b/>
          <w:sz w:val="28"/>
          <w:szCs w:val="28"/>
        </w:rPr>
        <w:t>26</w:t>
      </w:r>
      <w:r w:rsidR="009A382B">
        <w:rPr>
          <w:rFonts w:ascii="Arial Narrow" w:hAnsi="Arial Narrow"/>
          <w:b/>
          <w:sz w:val="28"/>
          <w:szCs w:val="28"/>
          <w:lang w:val="es-ES"/>
        </w:rPr>
        <w:t xml:space="preserve"> de </w:t>
      </w:r>
      <w:r w:rsidR="00B86B3D">
        <w:rPr>
          <w:rFonts w:ascii="Arial Narrow" w:hAnsi="Arial Narrow"/>
          <w:b/>
          <w:sz w:val="28"/>
          <w:szCs w:val="28"/>
          <w:lang w:val="es-ES"/>
        </w:rPr>
        <w:t>abril</w:t>
      </w:r>
      <w:r w:rsidR="009A382B" w:rsidRPr="00BB06ED">
        <w:rPr>
          <w:rFonts w:ascii="Arial Narrow" w:hAnsi="Arial Narrow"/>
          <w:b/>
          <w:sz w:val="28"/>
          <w:szCs w:val="28"/>
          <w:lang w:val="es-ES"/>
        </w:rPr>
        <w:t xml:space="preserve"> de 201</w:t>
      </w:r>
      <w:r w:rsidR="009A382B">
        <w:rPr>
          <w:rFonts w:ascii="Arial Narrow" w:hAnsi="Arial Narrow"/>
          <w:b/>
          <w:sz w:val="28"/>
          <w:szCs w:val="28"/>
          <w:lang w:val="es-ES"/>
        </w:rPr>
        <w:t>7</w:t>
      </w:r>
      <w:r w:rsidR="009A382B" w:rsidRPr="00BB06ED">
        <w:rPr>
          <w:rFonts w:ascii="Arial Narrow" w:hAnsi="Arial Narrow"/>
          <w:b/>
          <w:sz w:val="28"/>
          <w:szCs w:val="28"/>
          <w:lang w:val="es-ES"/>
        </w:rPr>
        <w:t xml:space="preserve">.- </w:t>
      </w:r>
      <w:r w:rsidRPr="000F5E41">
        <w:rPr>
          <w:rFonts w:ascii="Arial Narrow" w:hAnsi="Arial Narrow"/>
          <w:sz w:val="28"/>
          <w:szCs w:val="28"/>
          <w:lang w:val="es-ES"/>
        </w:rPr>
        <w:t>El secretar</w:t>
      </w:r>
      <w:r>
        <w:rPr>
          <w:rFonts w:ascii="Arial Narrow" w:hAnsi="Arial Narrow"/>
          <w:sz w:val="28"/>
          <w:szCs w:val="28"/>
          <w:lang w:val="es-ES"/>
        </w:rPr>
        <w:t xml:space="preserve">io de Estado para las Administraciones Territoriales, Roberto Bermúdez de Castro, ha destacado que su principal objetivo es </w:t>
      </w:r>
      <w:r w:rsidRPr="00BC1E4C">
        <w:rPr>
          <w:rFonts w:ascii="Arial Narrow" w:hAnsi="Arial Narrow"/>
          <w:i/>
          <w:sz w:val="28"/>
          <w:szCs w:val="28"/>
          <w:lang w:val="es-ES"/>
        </w:rPr>
        <w:t>“trabajar para canalizar los acuerdos con las Administraciones territoriales”</w:t>
      </w:r>
      <w:r w:rsidR="003118F7">
        <w:rPr>
          <w:rFonts w:ascii="Arial Narrow" w:hAnsi="Arial Narrow"/>
          <w:i/>
          <w:sz w:val="28"/>
          <w:szCs w:val="28"/>
          <w:lang w:val="es-ES"/>
        </w:rPr>
        <w:t xml:space="preserve"> y,</w:t>
      </w:r>
      <w:r>
        <w:rPr>
          <w:rFonts w:ascii="Arial Narrow" w:hAnsi="Arial Narrow"/>
          <w:sz w:val="28"/>
          <w:szCs w:val="28"/>
          <w:lang w:val="es-ES"/>
        </w:rPr>
        <w:t xml:space="preserve"> ha añadido</w:t>
      </w:r>
      <w:r w:rsidR="003118F7">
        <w:rPr>
          <w:rFonts w:ascii="Arial Narrow" w:hAnsi="Arial Narrow"/>
          <w:sz w:val="28"/>
          <w:szCs w:val="28"/>
          <w:lang w:val="es-ES"/>
        </w:rPr>
        <w:t>,</w:t>
      </w:r>
      <w:r>
        <w:rPr>
          <w:rFonts w:ascii="Arial Narrow" w:hAnsi="Arial Narrow"/>
          <w:sz w:val="28"/>
          <w:szCs w:val="28"/>
          <w:lang w:val="es-ES"/>
        </w:rPr>
        <w:t xml:space="preserve"> gracias a la colaboración y a la responsabilidad compartida entre las distintas Administraciones públicas, </w:t>
      </w:r>
      <w:r w:rsidRPr="00BC1E4C">
        <w:rPr>
          <w:rFonts w:ascii="Arial Narrow" w:hAnsi="Arial Narrow"/>
          <w:i/>
          <w:sz w:val="28"/>
          <w:szCs w:val="28"/>
          <w:lang w:val="es-ES"/>
        </w:rPr>
        <w:t xml:space="preserve">“este país ha logrado superar los momentos más difíciles de la crisis, sanear las cuentas públicas y afrontar las reformas </w:t>
      </w:r>
      <w:r w:rsidR="00BC1E4C">
        <w:rPr>
          <w:rFonts w:ascii="Arial Narrow" w:hAnsi="Arial Narrow"/>
          <w:i/>
          <w:sz w:val="28"/>
          <w:szCs w:val="28"/>
          <w:lang w:val="es-ES"/>
        </w:rPr>
        <w:t xml:space="preserve">necesarias </w:t>
      </w:r>
      <w:r w:rsidRPr="00BC1E4C">
        <w:rPr>
          <w:rFonts w:ascii="Arial Narrow" w:hAnsi="Arial Narrow"/>
          <w:i/>
          <w:sz w:val="28"/>
          <w:szCs w:val="28"/>
          <w:lang w:val="es-ES"/>
        </w:rPr>
        <w:t xml:space="preserve">para que nuestra economía </w:t>
      </w:r>
      <w:r w:rsidR="005C2BDB">
        <w:rPr>
          <w:rFonts w:ascii="Arial Narrow" w:hAnsi="Arial Narrow"/>
          <w:i/>
          <w:sz w:val="28"/>
          <w:szCs w:val="28"/>
          <w:lang w:val="es-ES"/>
        </w:rPr>
        <w:t>continúe</w:t>
      </w:r>
      <w:r w:rsidRPr="00BC1E4C">
        <w:rPr>
          <w:rFonts w:ascii="Arial Narrow" w:hAnsi="Arial Narrow"/>
          <w:i/>
          <w:sz w:val="28"/>
          <w:szCs w:val="28"/>
          <w:lang w:val="es-ES"/>
        </w:rPr>
        <w:t xml:space="preserve"> creciendo y permita seguir creando empleo”.</w:t>
      </w:r>
    </w:p>
    <w:p w:rsidR="000F5E41" w:rsidRDefault="000F5E41"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Default="00F94BF8" w:rsidP="00076198">
      <w:pPr>
        <w:pStyle w:val="Piedepgina"/>
        <w:ind w:left="2127"/>
        <w:jc w:val="both"/>
        <w:rPr>
          <w:rFonts w:ascii="Arial Narrow" w:hAnsi="Arial Narrow"/>
          <w:sz w:val="2"/>
          <w:szCs w:val="2"/>
          <w:lang w:val="es-ES"/>
        </w:rPr>
      </w:pPr>
    </w:p>
    <w:p w:rsidR="00F94BF8" w:rsidRPr="00F94BF8" w:rsidRDefault="00F94BF8" w:rsidP="00076198">
      <w:pPr>
        <w:pStyle w:val="Piedepgina"/>
        <w:ind w:left="2127"/>
        <w:jc w:val="both"/>
        <w:rPr>
          <w:rFonts w:ascii="Arial Narrow" w:hAnsi="Arial Narrow"/>
          <w:sz w:val="2"/>
          <w:szCs w:val="2"/>
          <w:lang w:val="es-ES"/>
        </w:rPr>
      </w:pPr>
    </w:p>
    <w:p w:rsidR="000F5E41" w:rsidRDefault="000F5E41" w:rsidP="00076198">
      <w:pPr>
        <w:pStyle w:val="Piedepgina"/>
        <w:ind w:left="2127"/>
        <w:jc w:val="both"/>
        <w:rPr>
          <w:rFonts w:ascii="Arial Narrow" w:hAnsi="Arial Narrow"/>
          <w:i/>
          <w:sz w:val="28"/>
          <w:szCs w:val="28"/>
          <w:lang w:val="es-ES"/>
        </w:rPr>
      </w:pPr>
      <w:r>
        <w:rPr>
          <w:rFonts w:ascii="Arial Narrow" w:hAnsi="Arial Narrow"/>
          <w:sz w:val="28"/>
          <w:szCs w:val="28"/>
          <w:lang w:val="es-ES"/>
        </w:rPr>
        <w:t>Bermúdez de Castro, durante su comparecencia en la Comisión de Presupuestos del Congreso, ha señalado que desde el Ministerio de la Presidencia y para las Administraciones Territoriales se están potenciando las comisiones bilaterales</w:t>
      </w:r>
      <w:r w:rsidR="00922842">
        <w:rPr>
          <w:rFonts w:ascii="Arial Narrow" w:hAnsi="Arial Narrow"/>
          <w:sz w:val="28"/>
          <w:szCs w:val="28"/>
          <w:lang w:val="es-ES"/>
        </w:rPr>
        <w:t xml:space="preserve">, </w:t>
      </w:r>
      <w:r w:rsidR="00922842" w:rsidRPr="00BC1E4C">
        <w:rPr>
          <w:rFonts w:ascii="Arial Narrow" w:hAnsi="Arial Narrow"/>
          <w:i/>
          <w:sz w:val="28"/>
          <w:szCs w:val="28"/>
          <w:lang w:val="es-ES"/>
        </w:rPr>
        <w:t>“para establecer diálogos leales y fructíferos con las comunidades autónomas y para reducir los litigios entre Administraciones”</w:t>
      </w:r>
      <w:r w:rsidR="00922842">
        <w:rPr>
          <w:rFonts w:ascii="Arial Narrow" w:hAnsi="Arial Narrow"/>
          <w:sz w:val="28"/>
          <w:szCs w:val="28"/>
          <w:lang w:val="es-ES"/>
        </w:rPr>
        <w:t xml:space="preserve">. Asimismo, </w:t>
      </w:r>
      <w:r w:rsidR="00F94BF8">
        <w:rPr>
          <w:rFonts w:ascii="Arial Narrow" w:hAnsi="Arial Narrow"/>
          <w:sz w:val="28"/>
          <w:szCs w:val="28"/>
          <w:lang w:val="es-ES"/>
        </w:rPr>
        <w:t>ha indicado,</w:t>
      </w:r>
      <w:r w:rsidR="00922842">
        <w:rPr>
          <w:rFonts w:ascii="Arial Narrow" w:hAnsi="Arial Narrow"/>
          <w:sz w:val="28"/>
          <w:szCs w:val="28"/>
          <w:lang w:val="es-ES"/>
        </w:rPr>
        <w:t xml:space="preserve"> </w:t>
      </w:r>
      <w:r w:rsidR="00F94BF8">
        <w:rPr>
          <w:rFonts w:ascii="Arial Narrow" w:hAnsi="Arial Narrow"/>
          <w:sz w:val="28"/>
          <w:szCs w:val="28"/>
          <w:lang w:val="es-ES"/>
        </w:rPr>
        <w:t>se han impulsado</w:t>
      </w:r>
      <w:r w:rsidR="00922842">
        <w:rPr>
          <w:rFonts w:ascii="Arial Narrow" w:hAnsi="Arial Narrow"/>
          <w:sz w:val="28"/>
          <w:szCs w:val="28"/>
          <w:lang w:val="es-ES"/>
        </w:rPr>
        <w:t xml:space="preserve"> l</w:t>
      </w:r>
      <w:r>
        <w:rPr>
          <w:rFonts w:ascii="Arial Narrow" w:hAnsi="Arial Narrow"/>
          <w:sz w:val="28"/>
          <w:szCs w:val="28"/>
          <w:lang w:val="es-ES"/>
        </w:rPr>
        <w:t>os foros multilaterales</w:t>
      </w:r>
      <w:r w:rsidR="00922842">
        <w:rPr>
          <w:rFonts w:ascii="Arial Narrow" w:hAnsi="Arial Narrow"/>
          <w:sz w:val="28"/>
          <w:szCs w:val="28"/>
          <w:lang w:val="es-ES"/>
        </w:rPr>
        <w:t xml:space="preserve">, entre los que destaca la Conferencia de </w:t>
      </w:r>
      <w:r w:rsidR="00922842">
        <w:rPr>
          <w:rFonts w:ascii="Arial Narrow" w:hAnsi="Arial Narrow"/>
          <w:sz w:val="28"/>
          <w:szCs w:val="28"/>
          <w:lang w:val="es-ES"/>
        </w:rPr>
        <w:lastRenderedPageBreak/>
        <w:t xml:space="preserve">Presidentes del pasado 17 de enero, donde </w:t>
      </w:r>
      <w:r w:rsidR="00922842" w:rsidRPr="002C5A88">
        <w:rPr>
          <w:rFonts w:ascii="Arial Narrow" w:hAnsi="Arial Narrow"/>
          <w:i/>
          <w:sz w:val="28"/>
          <w:szCs w:val="28"/>
          <w:lang w:val="es-ES"/>
        </w:rPr>
        <w:t>“el empleo, el reto demográfico, la sostenibilidad del sistema de bienestar, la dependencia, la tarjeta social, la protección civil, la educación, la financiación autonómica y local o la violencia de género, adquirieron compromisos entre el Gobierno de España y las comunidades autónomas”.</w:t>
      </w:r>
    </w:p>
    <w:p w:rsidR="00CF165B" w:rsidRPr="002C5A88" w:rsidRDefault="00CF165B" w:rsidP="00076198">
      <w:pPr>
        <w:pStyle w:val="Piedepgina"/>
        <w:ind w:left="2127"/>
        <w:jc w:val="both"/>
        <w:rPr>
          <w:rFonts w:ascii="Arial Narrow" w:hAnsi="Arial Narrow"/>
          <w:i/>
          <w:sz w:val="28"/>
          <w:szCs w:val="28"/>
          <w:lang w:val="es-ES"/>
        </w:rPr>
      </w:pPr>
    </w:p>
    <w:p w:rsidR="002C5A88" w:rsidRDefault="00F94BF8" w:rsidP="00076198">
      <w:pPr>
        <w:pStyle w:val="Piedepgina"/>
        <w:ind w:left="2127"/>
        <w:jc w:val="both"/>
        <w:rPr>
          <w:rFonts w:ascii="Arial Narrow" w:hAnsi="Arial Narrow"/>
          <w:sz w:val="28"/>
          <w:szCs w:val="28"/>
          <w:lang w:val="es-ES"/>
        </w:rPr>
      </w:pPr>
      <w:r>
        <w:rPr>
          <w:rFonts w:ascii="Arial Narrow" w:hAnsi="Arial Narrow"/>
          <w:sz w:val="28"/>
          <w:szCs w:val="28"/>
          <w:lang w:val="es-ES"/>
        </w:rPr>
        <w:t xml:space="preserve">El secretario de Estado ha </w:t>
      </w:r>
      <w:r w:rsidR="00922842">
        <w:rPr>
          <w:rFonts w:ascii="Arial Narrow" w:hAnsi="Arial Narrow"/>
          <w:sz w:val="28"/>
          <w:szCs w:val="28"/>
          <w:lang w:val="es-ES"/>
        </w:rPr>
        <w:t>recordado cómo</w:t>
      </w:r>
      <w:r w:rsidR="002C5A88">
        <w:rPr>
          <w:rFonts w:ascii="Arial Narrow" w:hAnsi="Arial Narrow"/>
          <w:sz w:val="28"/>
          <w:szCs w:val="28"/>
          <w:lang w:val="es-ES"/>
        </w:rPr>
        <w:t>, tras la Conferencia de Presidentes,</w:t>
      </w:r>
      <w:r w:rsidR="00922842">
        <w:rPr>
          <w:rFonts w:ascii="Arial Narrow" w:hAnsi="Arial Narrow"/>
          <w:sz w:val="28"/>
          <w:szCs w:val="28"/>
          <w:lang w:val="es-ES"/>
        </w:rPr>
        <w:t xml:space="preserve"> se han </w:t>
      </w:r>
      <w:r w:rsidR="005C2BDB">
        <w:rPr>
          <w:rFonts w:ascii="Arial Narrow" w:hAnsi="Arial Narrow"/>
          <w:sz w:val="28"/>
          <w:szCs w:val="28"/>
          <w:lang w:val="es-ES"/>
        </w:rPr>
        <w:t>creado</w:t>
      </w:r>
      <w:r w:rsidR="00922842">
        <w:rPr>
          <w:rFonts w:ascii="Arial Narrow" w:hAnsi="Arial Narrow"/>
          <w:sz w:val="28"/>
          <w:szCs w:val="28"/>
          <w:lang w:val="es-ES"/>
        </w:rPr>
        <w:t xml:space="preserve"> dos comisiones de expertos, que estudian la financiación autonómica y local, </w:t>
      </w:r>
      <w:r w:rsidR="002C5A88">
        <w:rPr>
          <w:rFonts w:ascii="Arial Narrow" w:hAnsi="Arial Narrow"/>
          <w:sz w:val="28"/>
          <w:szCs w:val="28"/>
          <w:lang w:val="es-ES"/>
        </w:rPr>
        <w:t>el</w:t>
      </w:r>
      <w:r w:rsidR="00922842">
        <w:rPr>
          <w:rFonts w:ascii="Arial Narrow" w:hAnsi="Arial Narrow"/>
          <w:sz w:val="28"/>
          <w:szCs w:val="28"/>
          <w:lang w:val="es-ES"/>
        </w:rPr>
        <w:t xml:space="preserve"> Comisionado frente al Reto Demográfico, que forma parte ya de la agenda nacional del Gobierno</w:t>
      </w:r>
      <w:r w:rsidR="002C5A88">
        <w:rPr>
          <w:rFonts w:ascii="Arial Narrow" w:hAnsi="Arial Narrow"/>
          <w:sz w:val="28"/>
          <w:szCs w:val="28"/>
          <w:lang w:val="es-ES"/>
        </w:rPr>
        <w:t xml:space="preserve"> y que prepara una Estrategia Nacional frente al Reto Demográfico</w:t>
      </w:r>
      <w:r w:rsidR="00922842">
        <w:rPr>
          <w:rFonts w:ascii="Arial Narrow" w:hAnsi="Arial Narrow"/>
          <w:sz w:val="28"/>
          <w:szCs w:val="28"/>
          <w:lang w:val="es-ES"/>
        </w:rPr>
        <w:t xml:space="preserve">, </w:t>
      </w:r>
      <w:r w:rsidR="002C5A88">
        <w:rPr>
          <w:rFonts w:ascii="Arial Narrow" w:hAnsi="Arial Narrow"/>
          <w:sz w:val="28"/>
          <w:szCs w:val="28"/>
          <w:lang w:val="es-ES"/>
        </w:rPr>
        <w:t>el Consejo Nacional de Protección Civil, la Subcomisión del Congreso para el gran P</w:t>
      </w:r>
      <w:r w:rsidR="003118F7">
        <w:rPr>
          <w:rFonts w:ascii="Arial Narrow" w:hAnsi="Arial Narrow"/>
          <w:sz w:val="28"/>
          <w:szCs w:val="28"/>
          <w:lang w:val="es-ES"/>
        </w:rPr>
        <w:t>acto de Estado Social y Político</w:t>
      </w:r>
      <w:r w:rsidR="002C5A88">
        <w:rPr>
          <w:rFonts w:ascii="Arial Narrow" w:hAnsi="Arial Narrow"/>
          <w:sz w:val="28"/>
          <w:szCs w:val="28"/>
          <w:lang w:val="es-ES"/>
        </w:rPr>
        <w:t xml:space="preserve"> sobre la Educación, la mesa de trabajo para impulsar la tarjeta social</w:t>
      </w:r>
      <w:r w:rsidR="005C2BDB">
        <w:rPr>
          <w:rFonts w:ascii="Arial Narrow" w:hAnsi="Arial Narrow"/>
          <w:sz w:val="28"/>
          <w:szCs w:val="28"/>
          <w:lang w:val="es-ES"/>
        </w:rPr>
        <w:t xml:space="preserve">. También </w:t>
      </w:r>
      <w:r w:rsidR="002C5A88">
        <w:rPr>
          <w:rFonts w:ascii="Arial Narrow" w:hAnsi="Arial Narrow"/>
          <w:sz w:val="28"/>
          <w:szCs w:val="28"/>
          <w:lang w:val="es-ES"/>
        </w:rPr>
        <w:t xml:space="preserve">se ha aprobado </w:t>
      </w:r>
      <w:r w:rsidR="00922842">
        <w:rPr>
          <w:rFonts w:ascii="Arial Narrow" w:hAnsi="Arial Narrow"/>
          <w:sz w:val="28"/>
          <w:szCs w:val="28"/>
          <w:lang w:val="es-ES"/>
        </w:rPr>
        <w:t>el Real Decreto-ley que regula el mecanismo de financiaci</w:t>
      </w:r>
      <w:r>
        <w:rPr>
          <w:rFonts w:ascii="Arial Narrow" w:hAnsi="Arial Narrow"/>
          <w:sz w:val="28"/>
          <w:szCs w:val="28"/>
          <w:lang w:val="es-ES"/>
        </w:rPr>
        <w:t>ón del bono social</w:t>
      </w:r>
      <w:r w:rsidR="002C5A88">
        <w:rPr>
          <w:rFonts w:ascii="Arial Narrow" w:hAnsi="Arial Narrow"/>
          <w:sz w:val="28"/>
          <w:szCs w:val="28"/>
          <w:lang w:val="es-ES"/>
        </w:rPr>
        <w:t>.</w:t>
      </w:r>
    </w:p>
    <w:p w:rsidR="002C5A88" w:rsidRDefault="002C5A88" w:rsidP="00076198">
      <w:pPr>
        <w:pStyle w:val="Piedepgina"/>
        <w:ind w:left="2127"/>
        <w:jc w:val="both"/>
        <w:rPr>
          <w:rFonts w:ascii="Arial Narrow" w:hAnsi="Arial Narrow"/>
          <w:sz w:val="28"/>
          <w:szCs w:val="28"/>
          <w:lang w:val="es-ES"/>
        </w:rPr>
      </w:pPr>
    </w:p>
    <w:p w:rsidR="00922842" w:rsidRDefault="002C5A88" w:rsidP="00076198">
      <w:pPr>
        <w:pStyle w:val="Piedepgina"/>
        <w:ind w:left="2127"/>
        <w:jc w:val="both"/>
        <w:rPr>
          <w:rFonts w:ascii="Arial Narrow" w:hAnsi="Arial Narrow"/>
          <w:sz w:val="28"/>
          <w:szCs w:val="28"/>
          <w:lang w:val="es-ES"/>
        </w:rPr>
      </w:pPr>
      <w:r>
        <w:rPr>
          <w:rFonts w:ascii="Arial Narrow" w:hAnsi="Arial Narrow"/>
          <w:sz w:val="28"/>
          <w:szCs w:val="28"/>
          <w:lang w:val="es-ES"/>
        </w:rPr>
        <w:t xml:space="preserve">Bermúdez de Castro </w:t>
      </w:r>
      <w:r w:rsidR="00F94BF8">
        <w:rPr>
          <w:rFonts w:ascii="Arial Narrow" w:hAnsi="Arial Narrow"/>
          <w:sz w:val="28"/>
          <w:szCs w:val="28"/>
          <w:lang w:val="es-ES"/>
        </w:rPr>
        <w:t xml:space="preserve">ha </w:t>
      </w:r>
      <w:r w:rsidR="005C2BDB">
        <w:rPr>
          <w:rFonts w:ascii="Arial Narrow" w:hAnsi="Arial Narrow"/>
          <w:sz w:val="28"/>
          <w:szCs w:val="28"/>
          <w:lang w:val="es-ES"/>
        </w:rPr>
        <w:t>resaltado, asimismo,</w:t>
      </w:r>
      <w:r>
        <w:rPr>
          <w:rFonts w:ascii="Arial Narrow" w:hAnsi="Arial Narrow"/>
          <w:sz w:val="28"/>
          <w:szCs w:val="28"/>
          <w:lang w:val="es-ES"/>
        </w:rPr>
        <w:t xml:space="preserve"> las dos reuniones celebradas ya </w:t>
      </w:r>
      <w:r w:rsidR="00F94BF8">
        <w:rPr>
          <w:rFonts w:ascii="Arial Narrow" w:hAnsi="Arial Narrow"/>
          <w:sz w:val="28"/>
          <w:szCs w:val="28"/>
          <w:lang w:val="es-ES"/>
        </w:rPr>
        <w:t>del</w:t>
      </w:r>
      <w:r w:rsidR="00922842">
        <w:rPr>
          <w:rFonts w:ascii="Arial Narrow" w:hAnsi="Arial Narrow"/>
          <w:sz w:val="28"/>
          <w:szCs w:val="28"/>
          <w:lang w:val="es-ES"/>
        </w:rPr>
        <w:t xml:space="preserve"> Consejo de Unidad de Mercado</w:t>
      </w:r>
      <w:r>
        <w:rPr>
          <w:rFonts w:ascii="Arial Narrow" w:hAnsi="Arial Narrow"/>
          <w:sz w:val="28"/>
          <w:szCs w:val="28"/>
          <w:lang w:val="es-ES"/>
        </w:rPr>
        <w:t xml:space="preserve">, </w:t>
      </w:r>
      <w:r w:rsidRPr="002C5A88">
        <w:rPr>
          <w:rFonts w:ascii="Arial Narrow" w:hAnsi="Arial Narrow"/>
          <w:i/>
          <w:sz w:val="28"/>
          <w:szCs w:val="28"/>
          <w:lang w:val="es-ES"/>
        </w:rPr>
        <w:t>“muy importante, porque la unida</w:t>
      </w:r>
      <w:r>
        <w:rPr>
          <w:rFonts w:ascii="Arial Narrow" w:hAnsi="Arial Narrow"/>
          <w:i/>
          <w:sz w:val="28"/>
          <w:szCs w:val="28"/>
          <w:lang w:val="es-ES"/>
        </w:rPr>
        <w:t>d de mercado y los principios d</w:t>
      </w:r>
      <w:r w:rsidRPr="002C5A88">
        <w:rPr>
          <w:rFonts w:ascii="Arial Narrow" w:hAnsi="Arial Narrow"/>
          <w:i/>
          <w:sz w:val="28"/>
          <w:szCs w:val="28"/>
          <w:lang w:val="es-ES"/>
        </w:rPr>
        <w:t>e</w:t>
      </w:r>
      <w:r>
        <w:rPr>
          <w:rFonts w:ascii="Arial Narrow" w:hAnsi="Arial Narrow"/>
          <w:i/>
          <w:sz w:val="28"/>
          <w:szCs w:val="28"/>
          <w:lang w:val="es-ES"/>
        </w:rPr>
        <w:t xml:space="preserve"> </w:t>
      </w:r>
      <w:r w:rsidRPr="002C5A88">
        <w:rPr>
          <w:rFonts w:ascii="Arial Narrow" w:hAnsi="Arial Narrow"/>
          <w:i/>
          <w:sz w:val="28"/>
          <w:szCs w:val="28"/>
          <w:lang w:val="es-ES"/>
        </w:rPr>
        <w:t>la buena regulación son esenciales para el desarrollo económico de los territorios de España y para el impulso del empleo y la competitividad”</w:t>
      </w:r>
      <w:r>
        <w:rPr>
          <w:rFonts w:ascii="Arial Narrow" w:hAnsi="Arial Narrow"/>
          <w:i/>
          <w:sz w:val="28"/>
          <w:szCs w:val="28"/>
          <w:lang w:val="es-ES"/>
        </w:rPr>
        <w:t xml:space="preserve">, </w:t>
      </w:r>
      <w:r w:rsidRPr="002C5A88">
        <w:rPr>
          <w:rFonts w:ascii="Arial Narrow" w:hAnsi="Arial Narrow"/>
          <w:sz w:val="28"/>
          <w:szCs w:val="28"/>
          <w:lang w:val="es-ES"/>
        </w:rPr>
        <w:t>así como la nueva dimensión</w:t>
      </w:r>
      <w:r w:rsidR="00F94BF8">
        <w:rPr>
          <w:rFonts w:ascii="Arial Narrow" w:hAnsi="Arial Narrow"/>
          <w:sz w:val="28"/>
          <w:szCs w:val="28"/>
          <w:lang w:val="es-ES"/>
        </w:rPr>
        <w:t xml:space="preserve"> </w:t>
      </w:r>
      <w:r w:rsidR="00922842">
        <w:rPr>
          <w:rFonts w:ascii="Arial Narrow" w:hAnsi="Arial Narrow"/>
          <w:sz w:val="28"/>
          <w:szCs w:val="28"/>
          <w:lang w:val="es-ES"/>
        </w:rPr>
        <w:t xml:space="preserve">de la Conferencia para Asuntos Relacionados con la Unión Europea, </w:t>
      </w:r>
      <w:r w:rsidR="005C2BDB">
        <w:rPr>
          <w:rFonts w:ascii="Arial Narrow" w:hAnsi="Arial Narrow"/>
          <w:sz w:val="28"/>
          <w:szCs w:val="28"/>
          <w:lang w:val="es-ES"/>
        </w:rPr>
        <w:t>“</w:t>
      </w:r>
      <w:r w:rsidRPr="005C2BDB">
        <w:rPr>
          <w:rFonts w:ascii="Arial Narrow" w:hAnsi="Arial Narrow"/>
          <w:i/>
          <w:sz w:val="28"/>
          <w:szCs w:val="28"/>
          <w:lang w:val="es-ES"/>
        </w:rPr>
        <w:t xml:space="preserve">mejorando su funcionamiento y </w:t>
      </w:r>
      <w:r w:rsidR="00922842" w:rsidRPr="005C2BDB">
        <w:rPr>
          <w:rFonts w:ascii="Arial Narrow" w:hAnsi="Arial Narrow"/>
          <w:i/>
          <w:sz w:val="28"/>
          <w:szCs w:val="28"/>
          <w:lang w:val="es-ES"/>
        </w:rPr>
        <w:t>que volverá a reunir</w:t>
      </w:r>
      <w:r w:rsidR="005C2BDB" w:rsidRPr="005C2BDB">
        <w:rPr>
          <w:rFonts w:ascii="Arial Narrow" w:hAnsi="Arial Narrow"/>
          <w:i/>
          <w:sz w:val="28"/>
          <w:szCs w:val="28"/>
          <w:lang w:val="es-ES"/>
        </w:rPr>
        <w:t>se</w:t>
      </w:r>
      <w:r w:rsidR="00922842" w:rsidRPr="005C2BDB">
        <w:rPr>
          <w:rFonts w:ascii="Arial Narrow" w:hAnsi="Arial Narrow"/>
          <w:i/>
          <w:sz w:val="28"/>
          <w:szCs w:val="28"/>
          <w:lang w:val="es-ES"/>
        </w:rPr>
        <w:t xml:space="preserve"> </w:t>
      </w:r>
      <w:r w:rsidR="005C2BDB" w:rsidRPr="005C2BDB">
        <w:rPr>
          <w:rFonts w:ascii="Arial Narrow" w:hAnsi="Arial Narrow"/>
          <w:i/>
          <w:sz w:val="28"/>
          <w:szCs w:val="28"/>
          <w:lang w:val="es-ES"/>
        </w:rPr>
        <w:t>pronto</w:t>
      </w:r>
      <w:r w:rsidRPr="005C2BDB">
        <w:rPr>
          <w:rFonts w:ascii="Arial Narrow" w:hAnsi="Arial Narrow"/>
          <w:i/>
          <w:sz w:val="28"/>
          <w:szCs w:val="28"/>
          <w:lang w:val="es-ES"/>
        </w:rPr>
        <w:t xml:space="preserve"> </w:t>
      </w:r>
      <w:r w:rsidR="00922842" w:rsidRPr="005C2BDB">
        <w:rPr>
          <w:rFonts w:ascii="Arial Narrow" w:hAnsi="Arial Narrow"/>
          <w:i/>
          <w:sz w:val="28"/>
          <w:szCs w:val="28"/>
          <w:lang w:val="es-ES"/>
        </w:rPr>
        <w:t xml:space="preserve">para defender los intereses de los españoles frente al </w:t>
      </w:r>
      <w:proofErr w:type="spellStart"/>
      <w:r w:rsidR="00922842" w:rsidRPr="005C2BDB">
        <w:rPr>
          <w:rFonts w:ascii="Arial Narrow" w:hAnsi="Arial Narrow"/>
          <w:i/>
          <w:sz w:val="28"/>
          <w:szCs w:val="28"/>
          <w:lang w:val="es-ES"/>
        </w:rPr>
        <w:t>Brexit</w:t>
      </w:r>
      <w:proofErr w:type="spellEnd"/>
      <w:r w:rsidR="005C2BDB">
        <w:rPr>
          <w:rFonts w:ascii="Arial Narrow" w:hAnsi="Arial Narrow"/>
          <w:i/>
          <w:sz w:val="28"/>
          <w:szCs w:val="28"/>
          <w:lang w:val="es-ES"/>
        </w:rPr>
        <w:t>”</w:t>
      </w:r>
      <w:r w:rsidR="00922842">
        <w:rPr>
          <w:rFonts w:ascii="Arial Narrow" w:hAnsi="Arial Narrow"/>
          <w:sz w:val="28"/>
          <w:szCs w:val="28"/>
          <w:lang w:val="es-ES"/>
        </w:rPr>
        <w:t>.</w:t>
      </w:r>
    </w:p>
    <w:p w:rsidR="00922842" w:rsidRDefault="00922842" w:rsidP="00076198">
      <w:pPr>
        <w:pStyle w:val="Piedepgina"/>
        <w:ind w:left="2127"/>
        <w:jc w:val="both"/>
        <w:rPr>
          <w:rFonts w:ascii="Arial Narrow" w:hAnsi="Arial Narrow"/>
          <w:sz w:val="28"/>
          <w:szCs w:val="28"/>
          <w:lang w:val="es-ES"/>
        </w:rPr>
      </w:pPr>
    </w:p>
    <w:p w:rsidR="00922842" w:rsidRPr="00CF165B" w:rsidRDefault="00997EBC" w:rsidP="00076198">
      <w:pPr>
        <w:pStyle w:val="Piedepgina"/>
        <w:ind w:left="2127"/>
        <w:jc w:val="both"/>
        <w:rPr>
          <w:rFonts w:ascii="Arial Narrow" w:hAnsi="Arial Narrow"/>
          <w:b/>
          <w:sz w:val="27"/>
          <w:szCs w:val="27"/>
          <w:u w:val="single"/>
          <w:lang w:val="es-ES"/>
        </w:rPr>
      </w:pPr>
      <w:r w:rsidRPr="00CF165B">
        <w:rPr>
          <w:rFonts w:ascii="Arial Narrow" w:hAnsi="Arial Narrow"/>
          <w:b/>
          <w:sz w:val="27"/>
          <w:szCs w:val="27"/>
          <w:u w:val="single"/>
          <w:lang w:val="es-ES"/>
        </w:rPr>
        <w:t>Presupuesto de la Secretaría de Estado para las Administraciones Territoriales</w:t>
      </w:r>
      <w:r w:rsidR="00922842" w:rsidRPr="00CF165B">
        <w:rPr>
          <w:rFonts w:ascii="Arial Narrow" w:hAnsi="Arial Narrow"/>
          <w:b/>
          <w:sz w:val="27"/>
          <w:szCs w:val="27"/>
          <w:u w:val="single"/>
          <w:lang w:val="es-ES"/>
        </w:rPr>
        <w:t xml:space="preserve"> </w:t>
      </w:r>
    </w:p>
    <w:p w:rsidR="00997EBC" w:rsidRDefault="00997EBC" w:rsidP="00076198">
      <w:pPr>
        <w:pStyle w:val="Piedepgina"/>
        <w:ind w:left="2127"/>
        <w:jc w:val="both"/>
        <w:rPr>
          <w:rFonts w:ascii="Arial Narrow" w:hAnsi="Arial Narrow"/>
          <w:b/>
          <w:sz w:val="28"/>
          <w:szCs w:val="28"/>
          <w:u w:val="single"/>
          <w:lang w:val="es-ES"/>
        </w:rPr>
      </w:pPr>
    </w:p>
    <w:p w:rsidR="00997EBC" w:rsidRDefault="00997EBC" w:rsidP="00076198">
      <w:pPr>
        <w:pStyle w:val="Piedepgina"/>
        <w:ind w:left="2127"/>
        <w:jc w:val="both"/>
        <w:rPr>
          <w:rFonts w:ascii="Arial Narrow" w:hAnsi="Arial Narrow"/>
          <w:sz w:val="28"/>
          <w:szCs w:val="28"/>
          <w:lang w:val="es-ES"/>
        </w:rPr>
      </w:pPr>
      <w:r w:rsidRPr="00997EBC">
        <w:rPr>
          <w:rFonts w:ascii="Arial Narrow" w:hAnsi="Arial Narrow"/>
          <w:sz w:val="28"/>
          <w:szCs w:val="28"/>
          <w:lang w:val="es-ES"/>
        </w:rPr>
        <w:t>El secretario de Estado</w:t>
      </w:r>
      <w:r w:rsidR="00F94BF8">
        <w:rPr>
          <w:rFonts w:ascii="Arial Narrow" w:hAnsi="Arial Narrow"/>
          <w:sz w:val="28"/>
          <w:szCs w:val="28"/>
          <w:lang w:val="es-ES"/>
        </w:rPr>
        <w:t xml:space="preserve"> ha explicado que el presupuesto de la Secretaría de Estado para las Administraciones Territoriales en 2017 asciende a 300.555.940 euros, destacando de este presupuesto los </w:t>
      </w:r>
      <w:r w:rsidR="00BC1E4C">
        <w:rPr>
          <w:rFonts w:ascii="Arial Narrow" w:hAnsi="Arial Narrow"/>
          <w:sz w:val="28"/>
          <w:szCs w:val="28"/>
          <w:lang w:val="es-ES"/>
        </w:rPr>
        <w:t>260,4</w:t>
      </w:r>
      <w:r w:rsidR="00F94BF8">
        <w:rPr>
          <w:rFonts w:ascii="Arial Narrow" w:hAnsi="Arial Narrow"/>
          <w:sz w:val="28"/>
          <w:szCs w:val="28"/>
          <w:lang w:val="es-ES"/>
        </w:rPr>
        <w:t xml:space="preserve"> millones de euros (</w:t>
      </w:r>
      <w:r w:rsidR="00BC1E4C">
        <w:rPr>
          <w:rFonts w:ascii="Arial Narrow" w:hAnsi="Arial Narrow"/>
          <w:sz w:val="28"/>
          <w:szCs w:val="28"/>
          <w:lang w:val="es-ES"/>
        </w:rPr>
        <w:t>87</w:t>
      </w:r>
      <w:r w:rsidR="00F94BF8">
        <w:rPr>
          <w:rFonts w:ascii="Arial Narrow" w:hAnsi="Arial Narrow"/>
          <w:sz w:val="28"/>
          <w:szCs w:val="28"/>
          <w:lang w:val="es-ES"/>
        </w:rPr>
        <w:t xml:space="preserve">% del total) </w:t>
      </w:r>
      <w:r w:rsidR="006A7DBB">
        <w:rPr>
          <w:rFonts w:ascii="Arial Narrow" w:hAnsi="Arial Narrow"/>
          <w:sz w:val="28"/>
          <w:szCs w:val="28"/>
          <w:lang w:val="es-ES"/>
        </w:rPr>
        <w:t>para la Administración Periférica del Estado.</w:t>
      </w:r>
    </w:p>
    <w:p w:rsidR="00123456" w:rsidRDefault="00123456" w:rsidP="00076198">
      <w:pPr>
        <w:pStyle w:val="Piedepgina"/>
        <w:ind w:left="2127"/>
        <w:jc w:val="both"/>
        <w:rPr>
          <w:rFonts w:ascii="Arial Narrow" w:hAnsi="Arial Narrow"/>
          <w:sz w:val="28"/>
          <w:szCs w:val="28"/>
          <w:lang w:val="es-ES"/>
        </w:rPr>
      </w:pPr>
    </w:p>
    <w:p w:rsidR="00123456" w:rsidRDefault="00123456" w:rsidP="00076198">
      <w:pPr>
        <w:pStyle w:val="Piedepgina"/>
        <w:ind w:left="2127"/>
        <w:jc w:val="both"/>
        <w:rPr>
          <w:rFonts w:ascii="Arial Narrow" w:hAnsi="Arial Narrow"/>
          <w:sz w:val="28"/>
          <w:szCs w:val="28"/>
          <w:lang w:val="es-ES"/>
        </w:rPr>
      </w:pPr>
      <w:r>
        <w:rPr>
          <w:rFonts w:ascii="Arial Narrow" w:hAnsi="Arial Narrow"/>
          <w:sz w:val="28"/>
          <w:szCs w:val="28"/>
          <w:lang w:val="es-ES"/>
        </w:rPr>
        <w:t>La Dirección General de la Administración Periférica del Estado coordina y gestiona el funcionamiento de 19 Delegaciones del Gobierno, 44 Subdelegaciones y 7 Direcciones insulares</w:t>
      </w:r>
      <w:r w:rsidR="00BC1E4C">
        <w:rPr>
          <w:rFonts w:ascii="Arial Narrow" w:hAnsi="Arial Narrow"/>
          <w:sz w:val="28"/>
          <w:szCs w:val="28"/>
          <w:lang w:val="es-ES"/>
        </w:rPr>
        <w:t xml:space="preserve">, </w:t>
      </w:r>
      <w:r w:rsidR="002C5A88">
        <w:rPr>
          <w:rFonts w:ascii="Arial Narrow" w:hAnsi="Arial Narrow"/>
          <w:sz w:val="28"/>
          <w:szCs w:val="28"/>
          <w:lang w:val="es-ES"/>
        </w:rPr>
        <w:t xml:space="preserve">donde trabajan </w:t>
      </w:r>
      <w:r w:rsidR="00BC1E4C">
        <w:rPr>
          <w:rFonts w:ascii="Arial Narrow" w:hAnsi="Arial Narrow"/>
          <w:sz w:val="28"/>
          <w:szCs w:val="28"/>
          <w:lang w:val="es-ES"/>
        </w:rPr>
        <w:t xml:space="preserve">6.298 empleados públicos. </w:t>
      </w:r>
    </w:p>
    <w:p w:rsidR="00BC1E4C" w:rsidRDefault="00BC1E4C" w:rsidP="00076198">
      <w:pPr>
        <w:pStyle w:val="Piedepgina"/>
        <w:ind w:left="2127"/>
        <w:jc w:val="both"/>
        <w:rPr>
          <w:rFonts w:ascii="Arial Narrow" w:hAnsi="Arial Narrow"/>
          <w:sz w:val="28"/>
          <w:szCs w:val="28"/>
          <w:lang w:val="es-ES"/>
        </w:rPr>
      </w:pPr>
    </w:p>
    <w:p w:rsidR="00BC1E4C" w:rsidRDefault="00BC1E4C" w:rsidP="00076198">
      <w:pPr>
        <w:pStyle w:val="Piedepgina"/>
        <w:ind w:left="2127"/>
        <w:jc w:val="both"/>
        <w:rPr>
          <w:rFonts w:ascii="Arial Narrow" w:hAnsi="Arial Narrow"/>
          <w:sz w:val="28"/>
          <w:szCs w:val="28"/>
          <w:lang w:val="es-ES"/>
        </w:rPr>
      </w:pPr>
      <w:r>
        <w:rPr>
          <w:rFonts w:ascii="Arial Narrow" w:hAnsi="Arial Narrow"/>
          <w:sz w:val="28"/>
          <w:szCs w:val="28"/>
          <w:lang w:val="es-ES"/>
        </w:rPr>
        <w:t>La Administración Periférica del Estado cuenta con 299 inmuebles, 52 oficinas de extranjería y atiende los servicios de inspección de sanidad exterior, sanidad animal, vegetal y farmacia, el servicio de vacunación internacional o las unidades de coordinación y violencia sobre la mujer.</w:t>
      </w:r>
    </w:p>
    <w:p w:rsidR="006A7DBB" w:rsidRDefault="006A7DBB" w:rsidP="00076198">
      <w:pPr>
        <w:pStyle w:val="Piedepgina"/>
        <w:ind w:left="2127"/>
        <w:jc w:val="both"/>
        <w:rPr>
          <w:rFonts w:ascii="Arial Narrow" w:hAnsi="Arial Narrow"/>
          <w:sz w:val="28"/>
          <w:szCs w:val="28"/>
          <w:lang w:val="es-ES"/>
        </w:rPr>
      </w:pPr>
    </w:p>
    <w:p w:rsidR="00CF165B" w:rsidRDefault="006A7DBB" w:rsidP="00076198">
      <w:pPr>
        <w:pStyle w:val="Piedepgina"/>
        <w:ind w:left="2127"/>
        <w:jc w:val="both"/>
        <w:rPr>
          <w:rFonts w:ascii="Arial Narrow" w:hAnsi="Arial Narrow"/>
          <w:sz w:val="28"/>
          <w:szCs w:val="28"/>
          <w:lang w:val="es-ES"/>
        </w:rPr>
      </w:pPr>
      <w:r>
        <w:rPr>
          <w:rFonts w:ascii="Arial Narrow" w:hAnsi="Arial Narrow"/>
          <w:sz w:val="28"/>
          <w:szCs w:val="28"/>
          <w:lang w:val="es-ES"/>
        </w:rPr>
        <w:t>Del presupuesto</w:t>
      </w:r>
      <w:r w:rsidR="00BC1E4C">
        <w:rPr>
          <w:rFonts w:ascii="Arial Narrow" w:hAnsi="Arial Narrow"/>
          <w:sz w:val="28"/>
          <w:szCs w:val="28"/>
          <w:lang w:val="es-ES"/>
        </w:rPr>
        <w:t xml:space="preserve"> de la Secretaría de Estado</w:t>
      </w:r>
      <w:r>
        <w:rPr>
          <w:rFonts w:ascii="Arial Narrow" w:hAnsi="Arial Narrow"/>
          <w:sz w:val="28"/>
          <w:szCs w:val="28"/>
          <w:lang w:val="es-ES"/>
        </w:rPr>
        <w:t xml:space="preserve">, Bermúdez de Castro ha </w:t>
      </w:r>
      <w:r w:rsidR="002C5A88">
        <w:rPr>
          <w:rFonts w:ascii="Arial Narrow" w:hAnsi="Arial Narrow"/>
          <w:sz w:val="28"/>
          <w:szCs w:val="28"/>
          <w:lang w:val="es-ES"/>
        </w:rPr>
        <w:t>destacado</w:t>
      </w:r>
      <w:r w:rsidR="00BC1E4C">
        <w:rPr>
          <w:rFonts w:ascii="Arial Narrow" w:hAnsi="Arial Narrow"/>
          <w:sz w:val="28"/>
          <w:szCs w:val="28"/>
          <w:lang w:val="es-ES"/>
        </w:rPr>
        <w:t xml:space="preserve"> también</w:t>
      </w:r>
      <w:r>
        <w:rPr>
          <w:rFonts w:ascii="Arial Narrow" w:hAnsi="Arial Narrow"/>
          <w:sz w:val="28"/>
          <w:szCs w:val="28"/>
          <w:lang w:val="es-ES"/>
        </w:rPr>
        <w:t xml:space="preserve"> que la Dirección General de Relaciones con las Comunidades Autónomas y Entes Locales, de quien depende la Cooperación Económica Local del Estado, </w:t>
      </w:r>
      <w:r>
        <w:rPr>
          <w:rFonts w:ascii="Arial Narrow" w:hAnsi="Arial Narrow"/>
          <w:sz w:val="28"/>
          <w:szCs w:val="28"/>
          <w:lang w:val="es-ES"/>
        </w:rPr>
        <w:lastRenderedPageBreak/>
        <w:t>cuenta con más de 36 millones de presupuesto, destacando los 30 millones de euros que se destinan un año más al Fondo de Inversiones de Teruel, para compensar la exclusión de esa provincia del objetivo 1 de los fondos europeos.</w:t>
      </w:r>
    </w:p>
    <w:p w:rsidR="00CF165B" w:rsidRDefault="00CF165B" w:rsidP="00076198">
      <w:pPr>
        <w:pStyle w:val="Piedepgina"/>
        <w:ind w:left="2127"/>
        <w:jc w:val="both"/>
        <w:rPr>
          <w:rFonts w:ascii="Arial Narrow" w:hAnsi="Arial Narrow"/>
          <w:sz w:val="28"/>
          <w:szCs w:val="28"/>
          <w:lang w:val="es-ES"/>
        </w:rPr>
      </w:pPr>
    </w:p>
    <w:p w:rsidR="00CF165B" w:rsidRDefault="00CF165B" w:rsidP="00076198">
      <w:pPr>
        <w:pStyle w:val="Piedepgina"/>
        <w:ind w:left="2127"/>
        <w:jc w:val="both"/>
        <w:rPr>
          <w:rFonts w:ascii="Arial Narrow" w:hAnsi="Arial Narrow"/>
          <w:sz w:val="28"/>
          <w:szCs w:val="28"/>
          <w:lang w:val="es-ES"/>
        </w:rPr>
      </w:pPr>
      <w:r>
        <w:rPr>
          <w:rFonts w:ascii="Arial Narrow" w:hAnsi="Arial Narrow"/>
          <w:sz w:val="28"/>
          <w:szCs w:val="28"/>
          <w:lang w:val="es-ES"/>
        </w:rPr>
        <w:t>A los 30 millones que destina la Secretaría de Estado para las Administraciones Territoriales hay que sumar otros 30 millones que aportará la</w:t>
      </w:r>
      <w:r w:rsidR="005C2BDB">
        <w:rPr>
          <w:rFonts w:ascii="Arial Narrow" w:hAnsi="Arial Narrow"/>
          <w:sz w:val="28"/>
          <w:szCs w:val="28"/>
          <w:lang w:val="es-ES"/>
        </w:rPr>
        <w:t xml:space="preserve"> Comunidad Autónoma de Aragón. Habrá, por tanto, </w:t>
      </w:r>
      <w:r>
        <w:rPr>
          <w:rFonts w:ascii="Arial Narrow" w:hAnsi="Arial Narrow"/>
          <w:sz w:val="28"/>
          <w:szCs w:val="28"/>
          <w:lang w:val="es-ES"/>
        </w:rPr>
        <w:t xml:space="preserve">60 millones </w:t>
      </w:r>
      <w:r w:rsidR="005C2BDB">
        <w:rPr>
          <w:rFonts w:ascii="Arial Narrow" w:hAnsi="Arial Narrow"/>
          <w:sz w:val="28"/>
          <w:szCs w:val="28"/>
          <w:lang w:val="es-ES"/>
        </w:rPr>
        <w:t xml:space="preserve">para inversiones </w:t>
      </w:r>
      <w:r>
        <w:rPr>
          <w:rFonts w:ascii="Arial Narrow" w:hAnsi="Arial Narrow"/>
          <w:sz w:val="28"/>
          <w:szCs w:val="28"/>
          <w:lang w:val="es-ES"/>
        </w:rPr>
        <w:t>en Teruel</w:t>
      </w:r>
      <w:r w:rsidR="005C2BDB">
        <w:rPr>
          <w:rFonts w:ascii="Arial Narrow" w:hAnsi="Arial Narrow"/>
          <w:sz w:val="28"/>
          <w:szCs w:val="28"/>
          <w:lang w:val="es-ES"/>
        </w:rPr>
        <w:t>,</w:t>
      </w:r>
      <w:r>
        <w:rPr>
          <w:rFonts w:ascii="Arial Narrow" w:hAnsi="Arial Narrow"/>
          <w:sz w:val="28"/>
          <w:szCs w:val="28"/>
          <w:lang w:val="es-ES"/>
        </w:rPr>
        <w:t xml:space="preserve"> </w:t>
      </w:r>
      <w:r w:rsidR="003118F7">
        <w:rPr>
          <w:rFonts w:ascii="Arial Narrow" w:hAnsi="Arial Narrow"/>
          <w:sz w:val="28"/>
          <w:szCs w:val="28"/>
          <w:lang w:val="es-ES"/>
        </w:rPr>
        <w:t>para impulsar</w:t>
      </w:r>
      <w:r>
        <w:rPr>
          <w:rFonts w:ascii="Arial Narrow" w:hAnsi="Arial Narrow"/>
          <w:sz w:val="28"/>
          <w:szCs w:val="28"/>
          <w:lang w:val="es-ES"/>
        </w:rPr>
        <w:t xml:space="preserve"> proyectos de desarrollo e infraestructuras en </w:t>
      </w:r>
      <w:r w:rsidR="005C2BDB">
        <w:rPr>
          <w:rFonts w:ascii="Arial Narrow" w:hAnsi="Arial Narrow"/>
          <w:sz w:val="28"/>
          <w:szCs w:val="28"/>
          <w:lang w:val="es-ES"/>
        </w:rPr>
        <w:t>la</w:t>
      </w:r>
      <w:r>
        <w:rPr>
          <w:rFonts w:ascii="Arial Narrow" w:hAnsi="Arial Narrow"/>
          <w:sz w:val="28"/>
          <w:szCs w:val="28"/>
          <w:lang w:val="es-ES"/>
        </w:rPr>
        <w:t xml:space="preserve"> provincia, muy castigada por la despoblación, el envejecimiento y la dispersión de la población. </w:t>
      </w:r>
    </w:p>
    <w:p w:rsidR="00CF165B" w:rsidRDefault="00CF165B" w:rsidP="00076198">
      <w:pPr>
        <w:pStyle w:val="Piedepgina"/>
        <w:ind w:left="2127"/>
        <w:jc w:val="both"/>
        <w:rPr>
          <w:rFonts w:ascii="Arial Narrow" w:hAnsi="Arial Narrow"/>
          <w:sz w:val="28"/>
          <w:szCs w:val="28"/>
          <w:lang w:val="es-ES"/>
        </w:rPr>
      </w:pPr>
    </w:p>
    <w:p w:rsidR="006A7DBB" w:rsidRDefault="00CF165B" w:rsidP="00076198">
      <w:pPr>
        <w:pStyle w:val="Piedepgina"/>
        <w:ind w:left="2127"/>
        <w:jc w:val="both"/>
        <w:rPr>
          <w:rFonts w:ascii="Arial Narrow" w:hAnsi="Arial Narrow"/>
          <w:sz w:val="28"/>
          <w:szCs w:val="28"/>
          <w:lang w:val="es-ES"/>
        </w:rPr>
      </w:pPr>
      <w:r>
        <w:rPr>
          <w:rFonts w:ascii="Arial Narrow" w:hAnsi="Arial Narrow"/>
          <w:sz w:val="28"/>
          <w:szCs w:val="28"/>
          <w:lang w:val="es-ES"/>
        </w:rPr>
        <w:t>Otros</w:t>
      </w:r>
      <w:r w:rsidR="006A7DBB">
        <w:rPr>
          <w:rFonts w:ascii="Arial Narrow" w:hAnsi="Arial Narrow"/>
          <w:sz w:val="28"/>
          <w:szCs w:val="28"/>
          <w:lang w:val="es-ES"/>
        </w:rPr>
        <w:t xml:space="preserve"> 2 millones de euros se destinan al convenio con la FEMP, que representa a 7.324 entidades locales.</w:t>
      </w:r>
    </w:p>
    <w:p w:rsidR="006A7DBB" w:rsidRDefault="006A7DBB" w:rsidP="00076198">
      <w:pPr>
        <w:pStyle w:val="Piedepgina"/>
        <w:ind w:left="2127"/>
        <w:jc w:val="both"/>
        <w:rPr>
          <w:rFonts w:ascii="Arial Narrow" w:hAnsi="Arial Narrow"/>
          <w:sz w:val="28"/>
          <w:szCs w:val="28"/>
          <w:lang w:val="es-ES"/>
        </w:rPr>
      </w:pPr>
    </w:p>
    <w:p w:rsidR="006A7DBB" w:rsidRPr="00CF165B" w:rsidRDefault="006A7DBB" w:rsidP="00076198">
      <w:pPr>
        <w:pStyle w:val="Piedepgina"/>
        <w:ind w:left="2127"/>
        <w:jc w:val="both"/>
        <w:rPr>
          <w:rFonts w:ascii="Arial Narrow" w:hAnsi="Arial Narrow"/>
          <w:b/>
          <w:sz w:val="26"/>
          <w:szCs w:val="26"/>
          <w:u w:val="single"/>
          <w:lang w:val="es-ES"/>
        </w:rPr>
      </w:pPr>
      <w:r w:rsidRPr="00CF165B">
        <w:rPr>
          <w:rFonts w:ascii="Arial Narrow" w:hAnsi="Arial Narrow"/>
          <w:b/>
          <w:sz w:val="26"/>
          <w:szCs w:val="26"/>
          <w:u w:val="single"/>
          <w:lang w:val="es-ES"/>
        </w:rPr>
        <w:t xml:space="preserve">Gestión de </w:t>
      </w:r>
      <w:r w:rsidR="00F9426E">
        <w:rPr>
          <w:rFonts w:ascii="Arial Narrow" w:hAnsi="Arial Narrow"/>
          <w:b/>
          <w:sz w:val="26"/>
          <w:szCs w:val="26"/>
          <w:u w:val="single"/>
          <w:lang w:val="es-ES"/>
        </w:rPr>
        <w:t>845</w:t>
      </w:r>
      <w:r w:rsidRPr="00CF165B">
        <w:rPr>
          <w:rFonts w:ascii="Arial Narrow" w:hAnsi="Arial Narrow"/>
          <w:b/>
          <w:sz w:val="26"/>
          <w:szCs w:val="26"/>
          <w:u w:val="single"/>
          <w:lang w:val="es-ES"/>
        </w:rPr>
        <w:t xml:space="preserve"> millones de euros </w:t>
      </w:r>
      <w:r w:rsidR="00BC1E4C" w:rsidRPr="00CF165B">
        <w:rPr>
          <w:rFonts w:ascii="Arial Narrow" w:hAnsi="Arial Narrow"/>
          <w:b/>
          <w:sz w:val="26"/>
          <w:szCs w:val="26"/>
          <w:u w:val="single"/>
          <w:lang w:val="es-ES"/>
        </w:rPr>
        <w:t xml:space="preserve">procedentes </w:t>
      </w:r>
      <w:r w:rsidRPr="00CF165B">
        <w:rPr>
          <w:rFonts w:ascii="Arial Narrow" w:hAnsi="Arial Narrow"/>
          <w:b/>
          <w:sz w:val="26"/>
          <w:szCs w:val="26"/>
          <w:u w:val="single"/>
          <w:lang w:val="es-ES"/>
        </w:rPr>
        <w:t>de los fondos europeos</w:t>
      </w:r>
    </w:p>
    <w:p w:rsidR="006A7DBB" w:rsidRDefault="006A7DBB" w:rsidP="00076198">
      <w:pPr>
        <w:pStyle w:val="Piedepgina"/>
        <w:ind w:left="2127"/>
        <w:jc w:val="both"/>
        <w:rPr>
          <w:rFonts w:ascii="Arial Narrow" w:hAnsi="Arial Narrow"/>
          <w:b/>
          <w:sz w:val="28"/>
          <w:szCs w:val="28"/>
          <w:u w:val="single"/>
          <w:lang w:val="es-ES"/>
        </w:rPr>
      </w:pPr>
    </w:p>
    <w:p w:rsidR="006A7DBB" w:rsidRDefault="006A7DBB" w:rsidP="00076198">
      <w:pPr>
        <w:pStyle w:val="Piedepgina"/>
        <w:ind w:left="2127"/>
        <w:jc w:val="both"/>
        <w:rPr>
          <w:rFonts w:ascii="Arial Narrow" w:hAnsi="Arial Narrow"/>
          <w:sz w:val="28"/>
          <w:szCs w:val="28"/>
          <w:lang w:val="es-ES"/>
        </w:rPr>
      </w:pPr>
      <w:r>
        <w:rPr>
          <w:rFonts w:ascii="Arial Narrow" w:hAnsi="Arial Narrow"/>
          <w:sz w:val="28"/>
          <w:szCs w:val="28"/>
          <w:lang w:val="es-ES"/>
        </w:rPr>
        <w:t>La Secretaría de Estado para las Administraciones Territoriales</w:t>
      </w:r>
      <w:r w:rsidR="005C2BDB">
        <w:rPr>
          <w:rFonts w:ascii="Arial Narrow" w:hAnsi="Arial Narrow"/>
          <w:sz w:val="28"/>
          <w:szCs w:val="28"/>
          <w:lang w:val="es-ES"/>
        </w:rPr>
        <w:t xml:space="preserve"> no incluye en su presupuesto, pero sí</w:t>
      </w:r>
      <w:r>
        <w:rPr>
          <w:rFonts w:ascii="Arial Narrow" w:hAnsi="Arial Narrow"/>
          <w:sz w:val="28"/>
          <w:szCs w:val="28"/>
          <w:lang w:val="es-ES"/>
        </w:rPr>
        <w:t xml:space="preserve"> gestiona</w:t>
      </w:r>
      <w:r w:rsidR="005C2BDB">
        <w:rPr>
          <w:rFonts w:ascii="Arial Narrow" w:hAnsi="Arial Narrow"/>
          <w:sz w:val="28"/>
          <w:szCs w:val="28"/>
          <w:lang w:val="es-ES"/>
        </w:rPr>
        <w:t>,</w:t>
      </w:r>
      <w:r>
        <w:rPr>
          <w:rFonts w:ascii="Arial Narrow" w:hAnsi="Arial Narrow"/>
          <w:sz w:val="28"/>
          <w:szCs w:val="28"/>
          <w:lang w:val="es-ES"/>
        </w:rPr>
        <w:t xml:space="preserve"> parte de los fondos europeos</w:t>
      </w:r>
      <w:r w:rsidR="005C2BDB">
        <w:rPr>
          <w:rFonts w:ascii="Arial Narrow" w:hAnsi="Arial Narrow"/>
          <w:sz w:val="28"/>
          <w:szCs w:val="28"/>
          <w:lang w:val="es-ES"/>
        </w:rPr>
        <w:t xml:space="preserve"> destinados a España</w:t>
      </w:r>
      <w:r>
        <w:rPr>
          <w:rFonts w:ascii="Arial Narrow" w:hAnsi="Arial Narrow"/>
          <w:sz w:val="28"/>
          <w:szCs w:val="28"/>
          <w:lang w:val="es-ES"/>
        </w:rPr>
        <w:t xml:space="preserve">, concretamente </w:t>
      </w:r>
      <w:r w:rsidR="005C2BDB">
        <w:rPr>
          <w:rFonts w:ascii="Arial Narrow" w:hAnsi="Arial Narrow"/>
          <w:sz w:val="28"/>
          <w:szCs w:val="28"/>
          <w:lang w:val="es-ES"/>
        </w:rPr>
        <w:t>el</w:t>
      </w:r>
      <w:r>
        <w:rPr>
          <w:rFonts w:ascii="Arial Narrow" w:hAnsi="Arial Narrow"/>
          <w:sz w:val="28"/>
          <w:szCs w:val="28"/>
          <w:lang w:val="es-ES"/>
        </w:rPr>
        <w:t xml:space="preserve"> Fondo Europeo de Desarrollo Regional (FEDER) y </w:t>
      </w:r>
      <w:r w:rsidR="005C2BDB">
        <w:rPr>
          <w:rFonts w:ascii="Arial Narrow" w:hAnsi="Arial Narrow"/>
          <w:sz w:val="28"/>
          <w:szCs w:val="28"/>
          <w:lang w:val="es-ES"/>
        </w:rPr>
        <w:t>el</w:t>
      </w:r>
      <w:r>
        <w:rPr>
          <w:rFonts w:ascii="Arial Narrow" w:hAnsi="Arial Narrow"/>
          <w:sz w:val="28"/>
          <w:szCs w:val="28"/>
          <w:lang w:val="es-ES"/>
        </w:rPr>
        <w:t xml:space="preserve"> Fondo Social Europeo (FSE), asignados a la Administración General del Estado en el periodo 2014-2020, destinados a financiar inversiones de las entidades locales.</w:t>
      </w:r>
      <w:r w:rsidR="00BC1E4C">
        <w:rPr>
          <w:rFonts w:ascii="Arial Narrow" w:hAnsi="Arial Narrow"/>
          <w:sz w:val="28"/>
          <w:szCs w:val="28"/>
          <w:lang w:val="es-ES"/>
        </w:rPr>
        <w:t xml:space="preserve"> </w:t>
      </w:r>
    </w:p>
    <w:p w:rsidR="006A7DBB" w:rsidRDefault="006A7DBB" w:rsidP="00076198">
      <w:pPr>
        <w:pStyle w:val="Piedepgina"/>
        <w:ind w:left="2127"/>
        <w:jc w:val="both"/>
        <w:rPr>
          <w:rFonts w:ascii="Arial Narrow" w:hAnsi="Arial Narrow"/>
          <w:sz w:val="28"/>
          <w:szCs w:val="28"/>
          <w:lang w:val="es-ES"/>
        </w:rPr>
      </w:pPr>
    </w:p>
    <w:p w:rsidR="006A7DBB" w:rsidRPr="00123456" w:rsidRDefault="006A7DBB" w:rsidP="00123456">
      <w:pPr>
        <w:pStyle w:val="Piedepgina"/>
        <w:numPr>
          <w:ilvl w:val="0"/>
          <w:numId w:val="34"/>
        </w:numPr>
        <w:jc w:val="both"/>
        <w:rPr>
          <w:rFonts w:ascii="Arial Narrow" w:hAnsi="Arial Narrow"/>
          <w:b/>
          <w:sz w:val="28"/>
          <w:szCs w:val="28"/>
          <w:lang w:val="es-ES"/>
        </w:rPr>
      </w:pPr>
      <w:r w:rsidRPr="006A7DBB">
        <w:rPr>
          <w:rFonts w:ascii="Arial Narrow" w:hAnsi="Arial Narrow"/>
          <w:b/>
          <w:sz w:val="28"/>
          <w:szCs w:val="28"/>
          <w:lang w:val="es-ES"/>
        </w:rPr>
        <w:t>F</w:t>
      </w:r>
      <w:r w:rsidR="00123456">
        <w:rPr>
          <w:rFonts w:ascii="Arial Narrow" w:hAnsi="Arial Narrow"/>
          <w:b/>
          <w:sz w:val="28"/>
          <w:szCs w:val="28"/>
          <w:lang w:val="es-ES"/>
        </w:rPr>
        <w:t xml:space="preserve">EDER. </w:t>
      </w:r>
      <w:r w:rsidR="00123456">
        <w:rPr>
          <w:rFonts w:ascii="Arial Narrow" w:hAnsi="Arial Narrow"/>
          <w:sz w:val="28"/>
          <w:szCs w:val="28"/>
          <w:lang w:val="es-ES"/>
        </w:rPr>
        <w:t xml:space="preserve">Se destinarán </w:t>
      </w:r>
      <w:r w:rsidR="00F9426E">
        <w:rPr>
          <w:rFonts w:ascii="Arial Narrow" w:hAnsi="Arial Narrow"/>
          <w:sz w:val="28"/>
          <w:szCs w:val="28"/>
          <w:lang w:val="es-ES"/>
        </w:rPr>
        <w:t>aproximadamente 500 millones de</w:t>
      </w:r>
      <w:r w:rsidR="00123456">
        <w:rPr>
          <w:rFonts w:ascii="Arial Narrow" w:hAnsi="Arial Narrow"/>
          <w:sz w:val="28"/>
          <w:szCs w:val="28"/>
          <w:lang w:val="es-ES"/>
        </w:rPr>
        <w:t xml:space="preserve"> euros a los municipios con menos de 100.000 habitantes, excepto capitales de provincia, para inversiones de desarrollo urbano sostenible e integrado. </w:t>
      </w:r>
    </w:p>
    <w:p w:rsidR="00123456" w:rsidRPr="00123456" w:rsidRDefault="00123456" w:rsidP="00123456">
      <w:pPr>
        <w:pStyle w:val="Piedepgina"/>
        <w:ind w:left="2487"/>
        <w:jc w:val="both"/>
        <w:rPr>
          <w:rFonts w:ascii="Arial Narrow" w:hAnsi="Arial Narrow"/>
          <w:b/>
          <w:sz w:val="28"/>
          <w:szCs w:val="28"/>
          <w:lang w:val="es-ES"/>
        </w:rPr>
      </w:pPr>
    </w:p>
    <w:p w:rsidR="00123456" w:rsidRPr="00123456" w:rsidRDefault="00123456" w:rsidP="00123456">
      <w:pPr>
        <w:pStyle w:val="Piedepgina"/>
        <w:numPr>
          <w:ilvl w:val="0"/>
          <w:numId w:val="34"/>
        </w:numPr>
        <w:jc w:val="both"/>
        <w:rPr>
          <w:rFonts w:ascii="Arial Narrow" w:hAnsi="Arial Narrow"/>
          <w:sz w:val="28"/>
          <w:szCs w:val="28"/>
          <w:lang w:val="es-ES"/>
        </w:rPr>
      </w:pPr>
      <w:r>
        <w:rPr>
          <w:rFonts w:ascii="Arial Narrow" w:hAnsi="Arial Narrow"/>
          <w:b/>
          <w:sz w:val="28"/>
          <w:szCs w:val="28"/>
          <w:lang w:val="es-ES"/>
        </w:rPr>
        <w:t xml:space="preserve">FSE. </w:t>
      </w:r>
      <w:r w:rsidRPr="00123456">
        <w:rPr>
          <w:rFonts w:ascii="Arial Narrow" w:hAnsi="Arial Narrow"/>
          <w:sz w:val="28"/>
          <w:szCs w:val="28"/>
          <w:lang w:val="es-ES"/>
        </w:rPr>
        <w:t>Una dotación de 100 millones de euros se destina a empleo juvenil, para menores de 30 años</w:t>
      </w:r>
      <w:r w:rsidR="002C5A88">
        <w:rPr>
          <w:rFonts w:ascii="Arial Narrow" w:hAnsi="Arial Narrow"/>
          <w:sz w:val="28"/>
          <w:szCs w:val="28"/>
          <w:lang w:val="es-ES"/>
        </w:rPr>
        <w:t xml:space="preserve"> sin trabajo ni formación,</w:t>
      </w:r>
      <w:r>
        <w:rPr>
          <w:rFonts w:ascii="Arial Narrow" w:hAnsi="Arial Narrow"/>
          <w:sz w:val="28"/>
          <w:szCs w:val="28"/>
          <w:lang w:val="es-ES"/>
        </w:rPr>
        <w:t xml:space="preserve"> y otra dotación de 245 millones financiará proyectos que mejoren la inserción laboral de personas en situación o riesgo de exclusión social.</w:t>
      </w:r>
    </w:p>
    <w:p w:rsidR="006A7DBB" w:rsidRPr="006A7DBB" w:rsidRDefault="006A7DBB" w:rsidP="00076198">
      <w:pPr>
        <w:pStyle w:val="Piedepgina"/>
        <w:ind w:left="2127"/>
        <w:jc w:val="both"/>
        <w:rPr>
          <w:rFonts w:ascii="Arial Narrow" w:hAnsi="Arial Narrow"/>
          <w:sz w:val="28"/>
          <w:szCs w:val="28"/>
          <w:lang w:val="es-ES"/>
        </w:rPr>
      </w:pPr>
    </w:p>
    <w:p w:rsidR="009A382B" w:rsidRPr="00FE7BEC" w:rsidRDefault="009A382B" w:rsidP="009A382B">
      <w:pPr>
        <w:ind w:left="2127"/>
        <w:jc w:val="both"/>
        <w:rPr>
          <w:rFonts w:ascii="Arial Narrow" w:hAnsi="Arial Narrow"/>
          <w:sz w:val="28"/>
          <w:szCs w:val="28"/>
        </w:rPr>
      </w:pPr>
    </w:p>
    <w:sectPr w:rsidR="009A382B" w:rsidRPr="00FE7BEC" w:rsidSect="00CF165B">
      <w:headerReference w:type="default" r:id="rId8"/>
      <w:footerReference w:type="even" r:id="rId9"/>
      <w:footerReference w:type="default" r:id="rId10"/>
      <w:headerReference w:type="first" r:id="rId11"/>
      <w:footerReference w:type="first" r:id="rId12"/>
      <w:type w:val="continuous"/>
      <w:pgSz w:w="11906" w:h="16838" w:code="9"/>
      <w:pgMar w:top="238" w:right="991"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3B" w:rsidRDefault="000C5A3B">
      <w:r>
        <w:separator/>
      </w:r>
    </w:p>
  </w:endnote>
  <w:endnote w:type="continuationSeparator" w:id="0">
    <w:p w:rsidR="000C5A3B" w:rsidRDefault="000C5A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831807">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831807">
            <w:rPr>
              <w:sz w:val="20"/>
            </w:rPr>
            <w:fldChar w:fldCharType="begin"/>
          </w:r>
          <w:r>
            <w:rPr>
              <w:sz w:val="20"/>
            </w:rPr>
            <w:instrText xml:space="preserve"> PAGE </w:instrText>
          </w:r>
          <w:r w:rsidR="00831807">
            <w:rPr>
              <w:sz w:val="20"/>
            </w:rPr>
            <w:fldChar w:fldCharType="separate"/>
          </w:r>
          <w:r w:rsidR="00DC5D8F">
            <w:rPr>
              <w:noProof/>
              <w:sz w:val="20"/>
            </w:rPr>
            <w:t>2</w:t>
          </w:r>
          <w:r w:rsidR="00831807">
            <w:rPr>
              <w:sz w:val="20"/>
            </w:rPr>
            <w:fldChar w:fldCharType="end"/>
          </w:r>
          <w:r>
            <w:rPr>
              <w:sz w:val="20"/>
            </w:rPr>
            <w:t xml:space="preserve"> de </w:t>
          </w:r>
          <w:r w:rsidR="00831807">
            <w:rPr>
              <w:sz w:val="20"/>
            </w:rPr>
            <w:fldChar w:fldCharType="begin"/>
          </w:r>
          <w:r>
            <w:rPr>
              <w:sz w:val="20"/>
            </w:rPr>
            <w:instrText xml:space="preserve"> NUMPAGES </w:instrText>
          </w:r>
          <w:r w:rsidR="00831807">
            <w:rPr>
              <w:sz w:val="20"/>
            </w:rPr>
            <w:fldChar w:fldCharType="separate"/>
          </w:r>
          <w:r w:rsidR="00DC5D8F">
            <w:rPr>
              <w:noProof/>
              <w:sz w:val="20"/>
            </w:rPr>
            <w:t>3</w:t>
          </w:r>
          <w:r w:rsidR="00831807">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831807">
            <w:rPr>
              <w:sz w:val="20"/>
            </w:rPr>
            <w:fldChar w:fldCharType="begin"/>
          </w:r>
          <w:r>
            <w:rPr>
              <w:sz w:val="20"/>
            </w:rPr>
            <w:instrText xml:space="preserve"> PAGE </w:instrText>
          </w:r>
          <w:r w:rsidR="00831807">
            <w:rPr>
              <w:sz w:val="20"/>
            </w:rPr>
            <w:fldChar w:fldCharType="separate"/>
          </w:r>
          <w:r w:rsidR="00DC5D8F">
            <w:rPr>
              <w:noProof/>
              <w:sz w:val="20"/>
            </w:rPr>
            <w:t>1</w:t>
          </w:r>
          <w:r w:rsidR="00831807">
            <w:rPr>
              <w:sz w:val="20"/>
            </w:rPr>
            <w:fldChar w:fldCharType="end"/>
          </w:r>
          <w:r>
            <w:rPr>
              <w:sz w:val="20"/>
            </w:rPr>
            <w:t xml:space="preserve"> de </w:t>
          </w:r>
          <w:r w:rsidR="00831807">
            <w:rPr>
              <w:sz w:val="20"/>
            </w:rPr>
            <w:fldChar w:fldCharType="begin"/>
          </w:r>
          <w:r>
            <w:rPr>
              <w:sz w:val="20"/>
            </w:rPr>
            <w:instrText xml:space="preserve"> NUMPAGES </w:instrText>
          </w:r>
          <w:r w:rsidR="00831807">
            <w:rPr>
              <w:sz w:val="20"/>
            </w:rPr>
            <w:fldChar w:fldCharType="separate"/>
          </w:r>
          <w:r w:rsidR="00DC5D8F">
            <w:rPr>
              <w:noProof/>
              <w:sz w:val="20"/>
            </w:rPr>
            <w:t>3</w:t>
          </w:r>
          <w:r w:rsidR="00831807">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3B" w:rsidRDefault="000C5A3B">
      <w:r>
        <w:separator/>
      </w:r>
    </w:p>
  </w:footnote>
  <w:footnote w:type="continuationSeparator" w:id="0">
    <w:p w:rsidR="000C5A3B" w:rsidRDefault="000C5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6F052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6F0529" w:rsidTr="00A0758E">
      <w:trPr>
        <w:cantSplit/>
        <w:trHeight w:val="543"/>
      </w:trPr>
      <w:tc>
        <w:tcPr>
          <w:tcW w:w="1346" w:type="dxa"/>
          <w:vMerge w:val="restart"/>
        </w:tcPr>
        <w:bookmarkStart w:id="0" w:name="_MON_1030352108"/>
        <w:bookmarkEnd w:id="0"/>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54640742" r:id="rId2"/>
            </w:object>
          </w:r>
        </w:p>
      </w:tc>
      <w:tc>
        <w:tcPr>
          <w:tcW w:w="7584"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Default="006F052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pPr>
      <w:pStyle w:val="Encabezado"/>
      <w:tabs>
        <w:tab w:val="clear" w:pos="4252"/>
        <w:tab w:val="left" w:pos="2127"/>
        <w:tab w:val="left" w:pos="6521"/>
      </w:tabs>
      <w:ind w:firstLine="227"/>
      <w:rPr>
        <w:rFonts w:ascii="Gill Sans MT" w:hAnsi="Gill Sans MT"/>
        <w:sz w:val="16"/>
      </w:rPr>
    </w:pPr>
  </w:p>
  <w:p w:rsidR="006F0529" w:rsidRDefault="006F0529">
    <w:pPr>
      <w:pStyle w:val="Encabezado"/>
      <w:tabs>
        <w:tab w:val="clear" w:pos="4252"/>
        <w:tab w:val="left" w:pos="2127"/>
        <w:tab w:val="left" w:pos="6521"/>
      </w:tabs>
      <w:ind w:firstLine="227"/>
      <w:rPr>
        <w:rFonts w:ascii="Gill Sans MT" w:hAnsi="Gill Sans MT"/>
        <w:sz w:val="16"/>
      </w:rPr>
    </w:pPr>
  </w:p>
  <w:p w:rsidR="009A382B" w:rsidRDefault="009A382B">
    <w:pPr>
      <w:pStyle w:val="Encabezado"/>
      <w:tabs>
        <w:tab w:val="clear" w:pos="4252"/>
        <w:tab w:val="left" w:pos="2127"/>
        <w:tab w:val="left" w:pos="6521"/>
      </w:tabs>
      <w:ind w:firstLine="227"/>
      <w:rPr>
        <w:rFonts w:ascii="Gill Sans MT" w:hAnsi="Gill Sans MT"/>
        <w:sz w:val="16"/>
      </w:rPr>
    </w:pPr>
  </w:p>
  <w:p w:rsidR="003708A9" w:rsidRDefault="003708A9">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5C50CC3"/>
    <w:multiLevelType w:val="hybridMultilevel"/>
    <w:tmpl w:val="98EC22FA"/>
    <w:lvl w:ilvl="0" w:tplc="01265D5C">
      <w:start w:val="1"/>
      <w:numFmt w:val="bullet"/>
      <w:lvlText w:val=""/>
      <w:lvlJc w:val="left"/>
      <w:pPr>
        <w:ind w:left="2705" w:hanging="360"/>
      </w:pPr>
      <w:rPr>
        <w:rFonts w:ascii="Wingdings" w:hAnsi="Wingdings" w:hint="default"/>
        <w:color w:val="000000"/>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5">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7">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
    <w:nsid w:val="21D638B6"/>
    <w:multiLevelType w:val="hybridMultilevel"/>
    <w:tmpl w:val="D190FB18"/>
    <w:lvl w:ilvl="0" w:tplc="74A2EC82">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2">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4">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5">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2">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9">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0"/>
  </w:num>
  <w:num w:numId="2">
    <w:abstractNumId w:val="32"/>
  </w:num>
  <w:num w:numId="3">
    <w:abstractNumId w:val="14"/>
  </w:num>
  <w:num w:numId="4">
    <w:abstractNumId w:val="30"/>
  </w:num>
  <w:num w:numId="5">
    <w:abstractNumId w:val="0"/>
  </w:num>
  <w:num w:numId="6">
    <w:abstractNumId w:val="1"/>
  </w:num>
  <w:num w:numId="7">
    <w:abstractNumId w:val="26"/>
  </w:num>
  <w:num w:numId="8">
    <w:abstractNumId w:val="7"/>
  </w:num>
  <w:num w:numId="9">
    <w:abstractNumId w:val="9"/>
  </w:num>
  <w:num w:numId="10">
    <w:abstractNumId w:val="12"/>
  </w:num>
  <w:num w:numId="11">
    <w:abstractNumId w:val="17"/>
  </w:num>
  <w:num w:numId="12">
    <w:abstractNumId w:val="1"/>
  </w:num>
  <w:num w:numId="13">
    <w:abstractNumId w:val="8"/>
  </w:num>
  <w:num w:numId="14">
    <w:abstractNumId w:val="5"/>
  </w:num>
  <w:num w:numId="15">
    <w:abstractNumId w:val="15"/>
  </w:num>
  <w:num w:numId="16">
    <w:abstractNumId w:val="22"/>
  </w:num>
  <w:num w:numId="17">
    <w:abstractNumId w:val="6"/>
  </w:num>
  <w:num w:numId="18">
    <w:abstractNumId w:val="28"/>
  </w:num>
  <w:num w:numId="19">
    <w:abstractNumId w:val="13"/>
  </w:num>
  <w:num w:numId="20">
    <w:abstractNumId w:val="21"/>
  </w:num>
  <w:num w:numId="21">
    <w:abstractNumId w:val="29"/>
  </w:num>
  <w:num w:numId="22">
    <w:abstractNumId w:val="23"/>
  </w:num>
  <w:num w:numId="23">
    <w:abstractNumId w:val="20"/>
  </w:num>
  <w:num w:numId="24">
    <w:abstractNumId w:val="19"/>
  </w:num>
  <w:num w:numId="25">
    <w:abstractNumId w:val="24"/>
  </w:num>
  <w:num w:numId="26">
    <w:abstractNumId w:val="16"/>
  </w:num>
  <w:num w:numId="27">
    <w:abstractNumId w:val="25"/>
  </w:num>
  <w:num w:numId="28">
    <w:abstractNumId w:val="18"/>
  </w:num>
  <w:num w:numId="29">
    <w:abstractNumId w:val="4"/>
  </w:num>
  <w:num w:numId="30">
    <w:abstractNumId w:val="27"/>
  </w:num>
  <w:num w:numId="31">
    <w:abstractNumId w:val="3"/>
  </w:num>
  <w:num w:numId="32">
    <w:abstractNumId w:val="31"/>
  </w:num>
  <w:num w:numId="33">
    <w:abstractNumId w:val="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3314" fillcolor="white">
      <v:fill color="white"/>
      <o:colormru v:ext="edit" colors="#ddd"/>
    </o:shapedefaults>
  </w:hdrShapeDefaults>
  <w:footnotePr>
    <w:footnote w:id="-1"/>
    <w:footnote w:id="0"/>
  </w:footnotePr>
  <w:endnotePr>
    <w:endnote w:id="-1"/>
    <w:endnote w:id="0"/>
  </w:endnotePr>
  <w:compat/>
  <w:rsids>
    <w:rsidRoot w:val="00C17A1E"/>
    <w:rsid w:val="00007BF4"/>
    <w:rsid w:val="000236E7"/>
    <w:rsid w:val="000253A7"/>
    <w:rsid w:val="00025FD2"/>
    <w:rsid w:val="00027FA1"/>
    <w:rsid w:val="000327FE"/>
    <w:rsid w:val="00035376"/>
    <w:rsid w:val="0003615A"/>
    <w:rsid w:val="00042942"/>
    <w:rsid w:val="0005265F"/>
    <w:rsid w:val="00071994"/>
    <w:rsid w:val="00076198"/>
    <w:rsid w:val="00084D06"/>
    <w:rsid w:val="000A7BEA"/>
    <w:rsid w:val="000C1117"/>
    <w:rsid w:val="000C5A3B"/>
    <w:rsid w:val="000C7FA0"/>
    <w:rsid w:val="000D1A2A"/>
    <w:rsid w:val="000E1C2A"/>
    <w:rsid w:val="000E2AD6"/>
    <w:rsid w:val="000E5254"/>
    <w:rsid w:val="000E65B4"/>
    <w:rsid w:val="000F15DD"/>
    <w:rsid w:val="000F5E41"/>
    <w:rsid w:val="00103EB4"/>
    <w:rsid w:val="00110187"/>
    <w:rsid w:val="00123456"/>
    <w:rsid w:val="00134A12"/>
    <w:rsid w:val="00153EFF"/>
    <w:rsid w:val="001630B7"/>
    <w:rsid w:val="001778F0"/>
    <w:rsid w:val="0019632B"/>
    <w:rsid w:val="001964EB"/>
    <w:rsid w:val="001A1444"/>
    <w:rsid w:val="001A33CB"/>
    <w:rsid w:val="001A4BA9"/>
    <w:rsid w:val="001B199C"/>
    <w:rsid w:val="001B64DE"/>
    <w:rsid w:val="001C41A3"/>
    <w:rsid w:val="001C532F"/>
    <w:rsid w:val="001C6091"/>
    <w:rsid w:val="001D12ED"/>
    <w:rsid w:val="001E1548"/>
    <w:rsid w:val="002024A4"/>
    <w:rsid w:val="00207791"/>
    <w:rsid w:val="0021516E"/>
    <w:rsid w:val="00223E48"/>
    <w:rsid w:val="002262E0"/>
    <w:rsid w:val="0023679A"/>
    <w:rsid w:val="00236989"/>
    <w:rsid w:val="002412DD"/>
    <w:rsid w:val="002421FC"/>
    <w:rsid w:val="00244954"/>
    <w:rsid w:val="00244C9C"/>
    <w:rsid w:val="00247E66"/>
    <w:rsid w:val="00256ECC"/>
    <w:rsid w:val="00261E77"/>
    <w:rsid w:val="00263A9E"/>
    <w:rsid w:val="00281B2E"/>
    <w:rsid w:val="002A2626"/>
    <w:rsid w:val="002A27E8"/>
    <w:rsid w:val="002A319D"/>
    <w:rsid w:val="002A551E"/>
    <w:rsid w:val="002C4EFC"/>
    <w:rsid w:val="002C5A88"/>
    <w:rsid w:val="002E7C5F"/>
    <w:rsid w:val="002F0AE6"/>
    <w:rsid w:val="002F3004"/>
    <w:rsid w:val="002F42A1"/>
    <w:rsid w:val="003020F4"/>
    <w:rsid w:val="003118F7"/>
    <w:rsid w:val="00322582"/>
    <w:rsid w:val="00353F88"/>
    <w:rsid w:val="003708A9"/>
    <w:rsid w:val="00391C0A"/>
    <w:rsid w:val="003A0090"/>
    <w:rsid w:val="003A06DC"/>
    <w:rsid w:val="003E1C05"/>
    <w:rsid w:val="003F6CF4"/>
    <w:rsid w:val="00412903"/>
    <w:rsid w:val="00421BEA"/>
    <w:rsid w:val="00440100"/>
    <w:rsid w:val="0046471D"/>
    <w:rsid w:val="004656EE"/>
    <w:rsid w:val="004921A5"/>
    <w:rsid w:val="0049543F"/>
    <w:rsid w:val="004C13E6"/>
    <w:rsid w:val="004C5C74"/>
    <w:rsid w:val="004C667C"/>
    <w:rsid w:val="004D06B4"/>
    <w:rsid w:val="004D3E2C"/>
    <w:rsid w:val="00500E8F"/>
    <w:rsid w:val="00540499"/>
    <w:rsid w:val="005413C8"/>
    <w:rsid w:val="0054140D"/>
    <w:rsid w:val="00563534"/>
    <w:rsid w:val="00565B42"/>
    <w:rsid w:val="0057406C"/>
    <w:rsid w:val="00574754"/>
    <w:rsid w:val="005945F6"/>
    <w:rsid w:val="005A6181"/>
    <w:rsid w:val="005B2EDF"/>
    <w:rsid w:val="005C2BDB"/>
    <w:rsid w:val="005C67F2"/>
    <w:rsid w:val="005E5D1E"/>
    <w:rsid w:val="005F531E"/>
    <w:rsid w:val="00606058"/>
    <w:rsid w:val="00624D9C"/>
    <w:rsid w:val="00637899"/>
    <w:rsid w:val="0066570B"/>
    <w:rsid w:val="00667EE8"/>
    <w:rsid w:val="006842EC"/>
    <w:rsid w:val="006A5F53"/>
    <w:rsid w:val="006A7DBB"/>
    <w:rsid w:val="006C0F7F"/>
    <w:rsid w:val="006C14D9"/>
    <w:rsid w:val="006C7E93"/>
    <w:rsid w:val="006E2089"/>
    <w:rsid w:val="006F0529"/>
    <w:rsid w:val="0070663F"/>
    <w:rsid w:val="00716DE7"/>
    <w:rsid w:val="00722701"/>
    <w:rsid w:val="00732210"/>
    <w:rsid w:val="00735798"/>
    <w:rsid w:val="0073681D"/>
    <w:rsid w:val="00736BF9"/>
    <w:rsid w:val="00743BCE"/>
    <w:rsid w:val="00745DD4"/>
    <w:rsid w:val="0075241F"/>
    <w:rsid w:val="007567FD"/>
    <w:rsid w:val="00757D74"/>
    <w:rsid w:val="00767109"/>
    <w:rsid w:val="00774547"/>
    <w:rsid w:val="00777DAA"/>
    <w:rsid w:val="00795D69"/>
    <w:rsid w:val="007D35ED"/>
    <w:rsid w:val="007D7FB0"/>
    <w:rsid w:val="00810BF1"/>
    <w:rsid w:val="00813F4A"/>
    <w:rsid w:val="00814F1E"/>
    <w:rsid w:val="00817FFE"/>
    <w:rsid w:val="00820F6F"/>
    <w:rsid w:val="00831807"/>
    <w:rsid w:val="00837699"/>
    <w:rsid w:val="00846B86"/>
    <w:rsid w:val="0085155F"/>
    <w:rsid w:val="00861B9B"/>
    <w:rsid w:val="00870FC2"/>
    <w:rsid w:val="00873C47"/>
    <w:rsid w:val="0089127E"/>
    <w:rsid w:val="008A5360"/>
    <w:rsid w:val="008A68DE"/>
    <w:rsid w:val="008B4788"/>
    <w:rsid w:val="008B6A31"/>
    <w:rsid w:val="008C593F"/>
    <w:rsid w:val="008E5658"/>
    <w:rsid w:val="008F3950"/>
    <w:rsid w:val="00901A78"/>
    <w:rsid w:val="00916DB0"/>
    <w:rsid w:val="0092196A"/>
    <w:rsid w:val="00922842"/>
    <w:rsid w:val="00923914"/>
    <w:rsid w:val="00931B78"/>
    <w:rsid w:val="009429BA"/>
    <w:rsid w:val="00944220"/>
    <w:rsid w:val="009510DC"/>
    <w:rsid w:val="0097380E"/>
    <w:rsid w:val="009774E2"/>
    <w:rsid w:val="00991E74"/>
    <w:rsid w:val="00997C5F"/>
    <w:rsid w:val="00997EBC"/>
    <w:rsid w:val="009A382B"/>
    <w:rsid w:val="009C1BBD"/>
    <w:rsid w:val="009C6577"/>
    <w:rsid w:val="009E4934"/>
    <w:rsid w:val="00A03410"/>
    <w:rsid w:val="00A0758E"/>
    <w:rsid w:val="00A156D6"/>
    <w:rsid w:val="00A15B16"/>
    <w:rsid w:val="00A567E7"/>
    <w:rsid w:val="00A65ADD"/>
    <w:rsid w:val="00A6664C"/>
    <w:rsid w:val="00A80EEE"/>
    <w:rsid w:val="00A8386E"/>
    <w:rsid w:val="00AA37F8"/>
    <w:rsid w:val="00AB566B"/>
    <w:rsid w:val="00AB72EA"/>
    <w:rsid w:val="00B107C7"/>
    <w:rsid w:val="00B16649"/>
    <w:rsid w:val="00B4057B"/>
    <w:rsid w:val="00B50FF9"/>
    <w:rsid w:val="00B51910"/>
    <w:rsid w:val="00B530E9"/>
    <w:rsid w:val="00B71CF5"/>
    <w:rsid w:val="00B81427"/>
    <w:rsid w:val="00B81B0B"/>
    <w:rsid w:val="00B86B3D"/>
    <w:rsid w:val="00BA2961"/>
    <w:rsid w:val="00BC1E4C"/>
    <w:rsid w:val="00BC5471"/>
    <w:rsid w:val="00BC5D55"/>
    <w:rsid w:val="00BE3384"/>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9522E"/>
    <w:rsid w:val="00CA073A"/>
    <w:rsid w:val="00CB149A"/>
    <w:rsid w:val="00CC359B"/>
    <w:rsid w:val="00CD4CC5"/>
    <w:rsid w:val="00CF165B"/>
    <w:rsid w:val="00CF609F"/>
    <w:rsid w:val="00D00764"/>
    <w:rsid w:val="00D17993"/>
    <w:rsid w:val="00D23013"/>
    <w:rsid w:val="00D31CEC"/>
    <w:rsid w:val="00D41B9E"/>
    <w:rsid w:val="00D42800"/>
    <w:rsid w:val="00D5402A"/>
    <w:rsid w:val="00D5446A"/>
    <w:rsid w:val="00D8472E"/>
    <w:rsid w:val="00D857E9"/>
    <w:rsid w:val="00D94642"/>
    <w:rsid w:val="00DB0CC3"/>
    <w:rsid w:val="00DB27E1"/>
    <w:rsid w:val="00DC1CAA"/>
    <w:rsid w:val="00DC5D8F"/>
    <w:rsid w:val="00E01D40"/>
    <w:rsid w:val="00E03EDC"/>
    <w:rsid w:val="00E2208F"/>
    <w:rsid w:val="00E23CFE"/>
    <w:rsid w:val="00E33B3F"/>
    <w:rsid w:val="00E43FFF"/>
    <w:rsid w:val="00E551C0"/>
    <w:rsid w:val="00E64686"/>
    <w:rsid w:val="00E66000"/>
    <w:rsid w:val="00E71AAF"/>
    <w:rsid w:val="00E76BF4"/>
    <w:rsid w:val="00E80573"/>
    <w:rsid w:val="00E90278"/>
    <w:rsid w:val="00E917F9"/>
    <w:rsid w:val="00EA6868"/>
    <w:rsid w:val="00EB0BCB"/>
    <w:rsid w:val="00EB36D9"/>
    <w:rsid w:val="00EB638A"/>
    <w:rsid w:val="00ED68AD"/>
    <w:rsid w:val="00EE2F42"/>
    <w:rsid w:val="00EE6407"/>
    <w:rsid w:val="00F01114"/>
    <w:rsid w:val="00F4155E"/>
    <w:rsid w:val="00F54ED2"/>
    <w:rsid w:val="00F64C3B"/>
    <w:rsid w:val="00F66E74"/>
    <w:rsid w:val="00F738DA"/>
    <w:rsid w:val="00F9426E"/>
    <w:rsid w:val="00F94BF8"/>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F4"/>
    <w:rPr>
      <w:rFonts w:ascii="Arial" w:hAnsi="Arial" w:cs="Arial"/>
      <w:sz w:val="24"/>
    </w:rPr>
  </w:style>
  <w:style w:type="paragraph" w:styleId="Ttulo1">
    <w:name w:val="heading 1"/>
    <w:basedOn w:val="Normal"/>
    <w:next w:val="Normal"/>
    <w:link w:val="Ttulo1Car"/>
    <w:qFormat/>
    <w:rsid w:val="00007BF4"/>
    <w:pPr>
      <w:keepNext/>
      <w:outlineLvl w:val="0"/>
    </w:pPr>
    <w:rPr>
      <w:b/>
      <w:bCs/>
      <w:sz w:val="22"/>
    </w:rPr>
  </w:style>
  <w:style w:type="paragraph" w:styleId="Ttulo2">
    <w:name w:val="heading 2"/>
    <w:basedOn w:val="Normal"/>
    <w:next w:val="Normal"/>
    <w:link w:val="Ttulo2Car"/>
    <w:uiPriority w:val="99"/>
    <w:qFormat/>
    <w:rsid w:val="00007BF4"/>
    <w:pPr>
      <w:keepNext/>
      <w:outlineLvl w:val="1"/>
    </w:pPr>
    <w:rPr>
      <w:rFonts w:ascii="Arial Narrow" w:hAnsi="Arial Narrow"/>
      <w:b/>
      <w:bCs/>
    </w:rPr>
  </w:style>
  <w:style w:type="paragraph" w:styleId="Ttulo3">
    <w:name w:val="heading 3"/>
    <w:basedOn w:val="Normal"/>
    <w:next w:val="Normal"/>
    <w:qFormat/>
    <w:rsid w:val="00007BF4"/>
    <w:pPr>
      <w:keepNext/>
      <w:jc w:val="both"/>
      <w:outlineLvl w:val="2"/>
    </w:pPr>
    <w:rPr>
      <w:rFonts w:cs="Times New Roman"/>
      <w:b/>
      <w:u w:val="single"/>
    </w:rPr>
  </w:style>
  <w:style w:type="paragraph" w:styleId="Ttulo4">
    <w:name w:val="heading 4"/>
    <w:basedOn w:val="Normal"/>
    <w:next w:val="Normal"/>
    <w:link w:val="Ttulo4Car"/>
    <w:qFormat/>
    <w:rsid w:val="00007BF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007BF4"/>
    <w:pPr>
      <w:jc w:val="both"/>
    </w:pPr>
    <w:rPr>
      <w:b/>
    </w:rPr>
  </w:style>
  <w:style w:type="paragraph" w:customStyle="1" w:styleId="Negrita">
    <w:name w:val="Negrita"/>
    <w:basedOn w:val="Normal"/>
    <w:next w:val="Normal"/>
    <w:rsid w:val="00007BF4"/>
    <w:rPr>
      <w:b/>
      <w:color w:val="FF0000"/>
    </w:rPr>
  </w:style>
  <w:style w:type="paragraph" w:customStyle="1" w:styleId="UNO">
    <w:name w:val="UNO"/>
    <w:basedOn w:val="Normal"/>
    <w:next w:val="Normal"/>
    <w:autoRedefine/>
    <w:rsid w:val="00007BF4"/>
    <w:pPr>
      <w:outlineLvl w:val="0"/>
    </w:pPr>
    <w:rPr>
      <w:b/>
      <w:caps/>
      <w:sz w:val="32"/>
    </w:rPr>
  </w:style>
  <w:style w:type="paragraph" w:customStyle="1" w:styleId="DOS">
    <w:name w:val="DOS"/>
    <w:basedOn w:val="Normal"/>
    <w:next w:val="Normal"/>
    <w:autoRedefine/>
    <w:rsid w:val="00007BF4"/>
    <w:pPr>
      <w:jc w:val="center"/>
      <w:outlineLvl w:val="0"/>
    </w:pPr>
    <w:rPr>
      <w:b/>
      <w:caps/>
      <w:sz w:val="28"/>
      <w:u w:val="single"/>
    </w:rPr>
  </w:style>
  <w:style w:type="paragraph" w:customStyle="1" w:styleId="TRES">
    <w:name w:val="TRES"/>
    <w:basedOn w:val="Normal"/>
    <w:next w:val="Normal"/>
    <w:autoRedefine/>
    <w:rsid w:val="00007BF4"/>
    <w:pPr>
      <w:outlineLvl w:val="0"/>
    </w:pPr>
    <w:rPr>
      <w:b/>
      <w:i/>
    </w:rPr>
  </w:style>
  <w:style w:type="paragraph" w:customStyle="1" w:styleId="NEGRITA14">
    <w:name w:val="NEGRITA14"/>
    <w:basedOn w:val="Normal"/>
    <w:next w:val="Normal"/>
    <w:autoRedefine/>
    <w:rsid w:val="00007BF4"/>
    <w:pPr>
      <w:jc w:val="both"/>
    </w:pPr>
    <w:rPr>
      <w:b/>
      <w:caps/>
      <w:sz w:val="28"/>
    </w:rPr>
  </w:style>
  <w:style w:type="paragraph" w:customStyle="1" w:styleId="Estilo1">
    <w:name w:val="Estilo1"/>
    <w:basedOn w:val="Normal"/>
    <w:next w:val="Normal"/>
    <w:rsid w:val="00007BF4"/>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007BF4"/>
    <w:pPr>
      <w:tabs>
        <w:tab w:val="center" w:pos="4252"/>
        <w:tab w:val="right" w:pos="8504"/>
      </w:tabs>
    </w:pPr>
    <w:rPr>
      <w:rFonts w:ascii="Courier" w:hAnsi="Courier"/>
      <w:sz w:val="20"/>
      <w:lang w:val="es-ES_tradnl"/>
    </w:rPr>
  </w:style>
  <w:style w:type="paragraph" w:styleId="Encabezado">
    <w:name w:val="header"/>
    <w:basedOn w:val="Normal"/>
    <w:rsid w:val="00007BF4"/>
    <w:pPr>
      <w:tabs>
        <w:tab w:val="center" w:pos="4252"/>
        <w:tab w:val="right" w:pos="8504"/>
      </w:tabs>
    </w:pPr>
  </w:style>
  <w:style w:type="character" w:styleId="Nmerodepgina">
    <w:name w:val="page number"/>
    <w:basedOn w:val="Fuentedeprrafopredeter"/>
    <w:rsid w:val="00007BF4"/>
  </w:style>
  <w:style w:type="paragraph" w:customStyle="1" w:styleId="Rpido">
    <w:name w:val="Rápido _"/>
    <w:rsid w:val="00007BF4"/>
    <w:rPr>
      <w:snapToGrid w:val="0"/>
      <w:sz w:val="24"/>
      <w:lang w:val="es-ES_tradnl"/>
    </w:rPr>
  </w:style>
  <w:style w:type="paragraph" w:styleId="Sangradetextonormal">
    <w:name w:val="Body Text Indent"/>
    <w:basedOn w:val="Normal"/>
    <w:link w:val="SangradetextonormalCar"/>
    <w:rsid w:val="00007BF4"/>
    <w:pPr>
      <w:ind w:left="851"/>
      <w:jc w:val="both"/>
    </w:pPr>
    <w:rPr>
      <w:rFonts w:ascii="Arial Narrow" w:hAnsi="Arial Narrow"/>
      <w:sz w:val="28"/>
    </w:rPr>
  </w:style>
  <w:style w:type="paragraph" w:styleId="Textoindependiente">
    <w:name w:val="Body Text"/>
    <w:basedOn w:val="Normal"/>
    <w:rsid w:val="00007BF4"/>
    <w:rPr>
      <w:color w:val="FF0000"/>
      <w:sz w:val="20"/>
      <w:lang w:val="es-ES_tradnl"/>
    </w:rPr>
  </w:style>
  <w:style w:type="paragraph" w:styleId="Textoindependiente3">
    <w:name w:val="Body Text 3"/>
    <w:basedOn w:val="Normal"/>
    <w:rsid w:val="00007BF4"/>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5E66-BD2D-4AF8-8046-74170B95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3</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6275</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2017-04-25T10:45:00Z</cp:lastPrinted>
  <dcterms:created xsi:type="dcterms:W3CDTF">2017-04-25T13:53:00Z</dcterms:created>
  <dcterms:modified xsi:type="dcterms:W3CDTF">2017-04-25T13:53:00Z</dcterms:modified>
</cp:coreProperties>
</file>