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1" w:rsidRDefault="009A68B7" w:rsidP="00CA48B1">
      <w:pPr>
        <w:pStyle w:val="Piedepgina"/>
        <w:ind w:left="2127"/>
        <w:rPr>
          <w:rFonts w:ascii="Arial" w:hAnsi="Arial"/>
          <w:color w:val="000000"/>
          <w:sz w:val="28"/>
          <w:szCs w:val="28"/>
          <w:u w:val="single"/>
        </w:rPr>
      </w:pPr>
      <w:r w:rsidRPr="009A68B7">
        <w:rPr>
          <w:rFonts w:ascii="Arial Narrow" w:hAnsi="Arial Narrow"/>
          <w:b/>
          <w:noProof/>
          <w:sz w:val="48"/>
          <w:szCs w:val="4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1.1pt;width:63pt;height:3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1gtQIAALw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CA48B1" w:rsidRPr="004D4E6F">
        <w:rPr>
          <w:rFonts w:ascii="Arial" w:hAnsi="Arial"/>
          <w:color w:val="000000"/>
          <w:sz w:val="28"/>
          <w:szCs w:val="28"/>
          <w:u w:val="single"/>
        </w:rPr>
        <w:t>Semana de la Administración Abierta</w:t>
      </w:r>
      <w:r w:rsidR="00CA48B1">
        <w:rPr>
          <w:rFonts w:ascii="Arial" w:hAnsi="Arial"/>
          <w:color w:val="000000"/>
          <w:sz w:val="28"/>
          <w:szCs w:val="28"/>
          <w:u w:val="single"/>
        </w:rPr>
        <w:t xml:space="preserve"> en España</w:t>
      </w:r>
    </w:p>
    <w:p w:rsidR="00CA48B1" w:rsidRDefault="00CA48B1" w:rsidP="00CA48B1">
      <w:pPr>
        <w:pStyle w:val="Piedepgina"/>
        <w:ind w:left="2127"/>
        <w:rPr>
          <w:rFonts w:ascii="Arial" w:hAnsi="Arial"/>
          <w:color w:val="000000"/>
          <w:sz w:val="2"/>
          <w:szCs w:val="2"/>
          <w:u w:val="single"/>
        </w:rPr>
      </w:pPr>
    </w:p>
    <w:p w:rsidR="00CA48B1" w:rsidRDefault="00CA48B1" w:rsidP="00CA48B1">
      <w:pPr>
        <w:pStyle w:val="Piedepgina"/>
        <w:ind w:left="2127"/>
        <w:rPr>
          <w:rFonts w:ascii="Arial" w:hAnsi="Arial"/>
          <w:color w:val="000000"/>
          <w:sz w:val="2"/>
          <w:szCs w:val="2"/>
          <w:u w:val="single"/>
        </w:rPr>
      </w:pPr>
    </w:p>
    <w:p w:rsidR="00CA48B1" w:rsidRDefault="00CA48B1" w:rsidP="00CA48B1">
      <w:pPr>
        <w:pStyle w:val="Piedepgina"/>
        <w:ind w:left="2127"/>
        <w:rPr>
          <w:rFonts w:ascii="Arial" w:hAnsi="Arial"/>
          <w:color w:val="000000"/>
          <w:sz w:val="2"/>
          <w:szCs w:val="2"/>
          <w:u w:val="single"/>
        </w:rPr>
      </w:pPr>
    </w:p>
    <w:p w:rsidR="00CA48B1" w:rsidRDefault="00CA48B1" w:rsidP="00CA48B1">
      <w:pPr>
        <w:pStyle w:val="Piedepgina"/>
        <w:ind w:left="2127"/>
        <w:rPr>
          <w:rFonts w:ascii="Arial" w:hAnsi="Arial"/>
          <w:color w:val="000000"/>
          <w:sz w:val="2"/>
          <w:szCs w:val="2"/>
          <w:u w:val="single"/>
        </w:rPr>
      </w:pPr>
    </w:p>
    <w:p w:rsidR="00CA48B1" w:rsidRPr="00CA48B1" w:rsidRDefault="00CA48B1" w:rsidP="00CA48B1">
      <w:pPr>
        <w:pStyle w:val="Piedepgina"/>
        <w:ind w:left="2127"/>
        <w:rPr>
          <w:sz w:val="2"/>
          <w:szCs w:val="2"/>
          <w:u w:val="single"/>
        </w:rPr>
      </w:pPr>
    </w:p>
    <w:p w:rsidR="00CA48B1" w:rsidRDefault="00CA48B1" w:rsidP="00CA48B1">
      <w:pPr>
        <w:ind w:left="2127"/>
        <w:rPr>
          <w:rFonts w:ascii="Arial Narrow" w:hAnsi="Arial Narrow"/>
          <w:b/>
          <w:sz w:val="52"/>
          <w:szCs w:val="52"/>
        </w:rPr>
      </w:pPr>
      <w:r w:rsidRPr="004D4E6F">
        <w:rPr>
          <w:rFonts w:ascii="Arial Narrow" w:hAnsi="Arial Narrow"/>
          <w:b/>
          <w:sz w:val="52"/>
          <w:szCs w:val="52"/>
        </w:rPr>
        <w:t xml:space="preserve">Las Delegaciones y Subdelegaciones del Gobierno abren </w:t>
      </w:r>
      <w:r>
        <w:rPr>
          <w:rFonts w:ascii="Arial Narrow" w:hAnsi="Arial Narrow"/>
          <w:b/>
          <w:sz w:val="52"/>
          <w:szCs w:val="52"/>
        </w:rPr>
        <w:t xml:space="preserve">esta semana </w:t>
      </w:r>
      <w:r w:rsidRPr="004D4E6F">
        <w:rPr>
          <w:rFonts w:ascii="Arial Narrow" w:hAnsi="Arial Narrow"/>
          <w:b/>
          <w:sz w:val="52"/>
          <w:szCs w:val="52"/>
        </w:rPr>
        <w:t xml:space="preserve">sus puertas </w:t>
      </w:r>
      <w:r>
        <w:rPr>
          <w:rFonts w:ascii="Arial Narrow" w:hAnsi="Arial Narrow"/>
          <w:b/>
          <w:sz w:val="52"/>
          <w:szCs w:val="52"/>
        </w:rPr>
        <w:t xml:space="preserve">con distintos actos </w:t>
      </w:r>
      <w:r w:rsidR="005C6C7D">
        <w:rPr>
          <w:rFonts w:ascii="Arial Narrow" w:hAnsi="Arial Narrow"/>
          <w:b/>
          <w:sz w:val="52"/>
          <w:szCs w:val="52"/>
        </w:rPr>
        <w:t>a los ciudadanos</w:t>
      </w:r>
    </w:p>
    <w:p w:rsidR="00CA48B1" w:rsidRDefault="00CA48B1" w:rsidP="00CA48B1">
      <w:pPr>
        <w:ind w:left="2127"/>
        <w:rPr>
          <w:rFonts w:ascii="Arial Narrow" w:hAnsi="Arial Narrow"/>
          <w:b/>
          <w:sz w:val="52"/>
          <w:szCs w:val="52"/>
        </w:rPr>
      </w:pPr>
    </w:p>
    <w:p w:rsidR="005C6C7D" w:rsidRPr="003931B1" w:rsidRDefault="003931B1" w:rsidP="005C6C7D">
      <w:pPr>
        <w:pStyle w:val="Prrafodelista"/>
        <w:numPr>
          <w:ilvl w:val="0"/>
          <w:numId w:val="42"/>
        </w:numPr>
        <w:ind w:left="2410" w:hanging="283"/>
        <w:jc w:val="both"/>
        <w:rPr>
          <w:rFonts w:ascii="Arial Narrow" w:hAnsi="Arial Narrow"/>
          <w:b/>
          <w:sz w:val="28"/>
          <w:szCs w:val="28"/>
        </w:rPr>
      </w:pPr>
      <w:r w:rsidRPr="003931B1">
        <w:rPr>
          <w:rFonts w:ascii="Arial Narrow" w:hAnsi="Arial Narrow"/>
          <w:b/>
          <w:sz w:val="28"/>
          <w:szCs w:val="28"/>
        </w:rPr>
        <w:t>El 40% de los actos se desarrollarán en dependencias de las Delegaciones y Subdelegaciones del Gobierno</w:t>
      </w:r>
    </w:p>
    <w:p w:rsidR="005C6C7D" w:rsidRDefault="005C6C7D" w:rsidP="005C6C7D">
      <w:pPr>
        <w:pStyle w:val="Prrafodelista"/>
        <w:ind w:left="2410"/>
        <w:jc w:val="both"/>
        <w:rPr>
          <w:rFonts w:ascii="Arial Narrow" w:hAnsi="Arial Narrow"/>
          <w:b/>
          <w:sz w:val="28"/>
          <w:szCs w:val="28"/>
        </w:rPr>
      </w:pPr>
    </w:p>
    <w:p w:rsidR="00CA48B1" w:rsidRPr="00CA48B1" w:rsidRDefault="00CA48B1" w:rsidP="005C6C7D">
      <w:pPr>
        <w:pStyle w:val="Prrafodelista"/>
        <w:numPr>
          <w:ilvl w:val="0"/>
          <w:numId w:val="42"/>
        </w:numPr>
        <w:ind w:left="2410" w:hanging="283"/>
        <w:jc w:val="both"/>
        <w:rPr>
          <w:rFonts w:ascii="Arial Narrow" w:hAnsi="Arial Narrow"/>
          <w:b/>
          <w:sz w:val="28"/>
          <w:szCs w:val="28"/>
        </w:rPr>
      </w:pPr>
      <w:r w:rsidRPr="00CA48B1">
        <w:rPr>
          <w:rFonts w:ascii="Arial Narrow" w:hAnsi="Arial Narrow"/>
          <w:b/>
          <w:sz w:val="28"/>
          <w:szCs w:val="28"/>
        </w:rPr>
        <w:t>Entre las actividades, habrá jornada de puertas abiertas</w:t>
      </w:r>
      <w:r w:rsidR="005C6C7D">
        <w:rPr>
          <w:rFonts w:ascii="Arial Narrow" w:hAnsi="Arial Narrow"/>
          <w:b/>
          <w:sz w:val="28"/>
          <w:szCs w:val="28"/>
        </w:rPr>
        <w:t xml:space="preserve"> </w:t>
      </w:r>
      <w:r w:rsidRPr="00CA48B1">
        <w:rPr>
          <w:rFonts w:ascii="Arial Narrow" w:hAnsi="Arial Narrow"/>
          <w:b/>
          <w:sz w:val="28"/>
          <w:szCs w:val="28"/>
        </w:rPr>
        <w:t xml:space="preserve">donde los ciudadanos recibirán explicaciones </w:t>
      </w:r>
      <w:r w:rsidR="005C6C7D">
        <w:rPr>
          <w:rFonts w:ascii="Arial Narrow" w:hAnsi="Arial Narrow"/>
          <w:b/>
          <w:sz w:val="28"/>
          <w:szCs w:val="28"/>
        </w:rPr>
        <w:t>de</w:t>
      </w:r>
      <w:r w:rsidRPr="00CA48B1">
        <w:rPr>
          <w:rFonts w:ascii="Arial Narrow" w:hAnsi="Arial Narrow"/>
          <w:b/>
          <w:sz w:val="28"/>
          <w:szCs w:val="28"/>
        </w:rPr>
        <w:t xml:space="preserve"> los delegados del Gobierno y empleados públicos a quienes podrán trasladar </w:t>
      </w:r>
      <w:r w:rsidR="005C6C7D">
        <w:rPr>
          <w:rFonts w:ascii="Arial Narrow" w:hAnsi="Arial Narrow"/>
          <w:b/>
          <w:sz w:val="28"/>
          <w:szCs w:val="28"/>
        </w:rPr>
        <w:t xml:space="preserve">también </w:t>
      </w:r>
      <w:r w:rsidRPr="00CA48B1">
        <w:rPr>
          <w:rFonts w:ascii="Arial Narrow" w:hAnsi="Arial Narrow"/>
          <w:b/>
          <w:sz w:val="28"/>
          <w:szCs w:val="28"/>
        </w:rPr>
        <w:t xml:space="preserve">sus preguntas </w:t>
      </w:r>
    </w:p>
    <w:p w:rsidR="00CA48B1" w:rsidRDefault="00CA48B1" w:rsidP="00CA48B1">
      <w:pPr>
        <w:ind w:left="2127"/>
        <w:rPr>
          <w:rFonts w:ascii="Arial Narrow" w:hAnsi="Arial Narrow"/>
          <w:b/>
          <w:sz w:val="52"/>
          <w:szCs w:val="52"/>
        </w:rPr>
      </w:pPr>
    </w:p>
    <w:p w:rsidR="00CA48B1" w:rsidRPr="005C6C7D" w:rsidRDefault="00CA48B1" w:rsidP="005C6C7D">
      <w:pPr>
        <w:pStyle w:val="Default"/>
        <w:ind w:left="2127"/>
        <w:jc w:val="both"/>
        <w:rPr>
          <w:sz w:val="28"/>
          <w:szCs w:val="28"/>
        </w:rPr>
      </w:pPr>
      <w:r w:rsidRPr="005C6C7D">
        <w:rPr>
          <w:sz w:val="28"/>
          <w:szCs w:val="28"/>
        </w:rPr>
        <w:t>Madrid, 7 de mayo de 2018.- Las Delegaciones y Subdelegaciones del Gobierno abren sus puertas esta semana, desde hoy y hasta el próximo viernes, con motivo de la Semana de la Administración Abierta, que se celebra en las distintas Administraciones Públicas</w:t>
      </w:r>
      <w:r w:rsidR="005C6C7D" w:rsidRPr="005C6C7D">
        <w:rPr>
          <w:sz w:val="28"/>
          <w:szCs w:val="28"/>
        </w:rPr>
        <w:t>, impulsada por la Secretaría de Estado de Función Pública, sumándose así a la iniciativa mundial que secundan más de 75 países que forman parte de la Alianza para el Gobierno Abierto, con el objetivo de tr</w:t>
      </w:r>
      <w:r w:rsidR="005C6C7D" w:rsidRPr="005C6C7D">
        <w:rPr>
          <w:bCs/>
          <w:sz w:val="28"/>
          <w:szCs w:val="28"/>
        </w:rPr>
        <w:t xml:space="preserve">asladar a la sociedad el funcionamiento de una Administración del siglo XXI, abierta, cercana y transparente. </w:t>
      </w:r>
      <w:r w:rsidRPr="005C6C7D">
        <w:rPr>
          <w:sz w:val="28"/>
          <w:szCs w:val="28"/>
        </w:rPr>
        <w:t xml:space="preserve"> </w:t>
      </w: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esta primera edición de la Semana de la Administración Abierta, para sensibilizar a la sociedad civil del Tercer Plan de Gobierno Abierto, habrá 300 actividades en prácticamente todas las provincias, para impulsar la transparencia pública, la participación ciudadana y la rendición de cuentas, y dirigidas especialmente a los escolares, jóvenes, entidades del tercer sector y representantes de organizaciones de consumidores y usuarios.</w:t>
      </w:r>
    </w:p>
    <w:p w:rsidR="00CA48B1" w:rsidRDefault="00CA48B1" w:rsidP="00CA48B1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A48B1" w:rsidRPr="00164491" w:rsidRDefault="00CA48B1" w:rsidP="00CA48B1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64491">
        <w:rPr>
          <w:rFonts w:ascii="Arial Narrow" w:hAnsi="Arial Narrow"/>
          <w:b/>
          <w:sz w:val="28"/>
          <w:szCs w:val="28"/>
          <w:u w:val="single"/>
        </w:rPr>
        <w:t>Delegaciones y Subdelegaciones del Gobierno</w:t>
      </w: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 w:rsidRPr="00BF6780">
        <w:rPr>
          <w:rFonts w:ascii="Arial Narrow" w:hAnsi="Arial Narrow"/>
          <w:sz w:val="28"/>
          <w:szCs w:val="28"/>
        </w:rPr>
        <w:t>La</w:t>
      </w:r>
      <w:r>
        <w:rPr>
          <w:rFonts w:ascii="Arial Narrow" w:hAnsi="Arial Narrow"/>
          <w:sz w:val="28"/>
          <w:szCs w:val="28"/>
        </w:rPr>
        <w:t xml:space="preserve"> Administración Periférica del Estado, dependiente de</w:t>
      </w:r>
      <w:r w:rsidRPr="00BF6780">
        <w:rPr>
          <w:rFonts w:ascii="Arial Narrow" w:hAnsi="Arial Narrow"/>
          <w:sz w:val="28"/>
          <w:szCs w:val="28"/>
        </w:rPr>
        <w:t xml:space="preserve">l Ministerio de la Presidencia y para las Administraciones Territoriales, </w:t>
      </w:r>
      <w:r>
        <w:rPr>
          <w:rFonts w:ascii="Arial Narrow" w:hAnsi="Arial Narrow"/>
          <w:sz w:val="28"/>
          <w:szCs w:val="28"/>
        </w:rPr>
        <w:t xml:space="preserve">cuenta con 19 Delegaciones del Gobierno, 44 Subdelegaciones y 7 Direcciones Insulares, centros en los que trabajan 6.334 empleados públicos. </w:t>
      </w: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 w:rsidRPr="00BF6780">
        <w:rPr>
          <w:rFonts w:ascii="Arial Narrow" w:hAnsi="Arial Narrow"/>
          <w:sz w:val="28"/>
          <w:szCs w:val="28"/>
        </w:rPr>
        <w:lastRenderedPageBreak/>
        <w:t xml:space="preserve">Las actividades </w:t>
      </w:r>
      <w:r>
        <w:rPr>
          <w:rFonts w:ascii="Arial Narrow" w:hAnsi="Arial Narrow"/>
          <w:sz w:val="28"/>
          <w:szCs w:val="28"/>
        </w:rPr>
        <w:t>que allí se desarrollarán</w:t>
      </w:r>
      <w:r w:rsidR="005C6C7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desde hoy y hasta el viernes</w:t>
      </w:r>
      <w:r w:rsidR="005C6C7D">
        <w:rPr>
          <w:rFonts w:ascii="Arial Narrow" w:hAnsi="Arial Narrow"/>
          <w:sz w:val="28"/>
          <w:szCs w:val="28"/>
        </w:rPr>
        <w:t xml:space="preserve">, representarán el 40% de las actividades en </w:t>
      </w:r>
      <w:r w:rsidR="00B51233">
        <w:rPr>
          <w:rFonts w:ascii="Arial Narrow" w:hAnsi="Arial Narrow"/>
          <w:sz w:val="28"/>
          <w:szCs w:val="28"/>
        </w:rPr>
        <w:t>las Administraciones Públicas d</w:t>
      </w:r>
      <w:r w:rsidR="005C6C7D">
        <w:rPr>
          <w:rFonts w:ascii="Arial Narrow" w:hAnsi="Arial Narrow"/>
          <w:sz w:val="28"/>
          <w:szCs w:val="28"/>
        </w:rPr>
        <w:t>urante esta semana e</w:t>
      </w:r>
      <w:r>
        <w:rPr>
          <w:rFonts w:ascii="Arial Narrow" w:hAnsi="Arial Narrow"/>
          <w:sz w:val="28"/>
          <w:szCs w:val="28"/>
        </w:rPr>
        <w:t xml:space="preserve"> irán</w:t>
      </w:r>
      <w:r w:rsidRPr="00BF6780">
        <w:rPr>
          <w:rFonts w:ascii="Arial Narrow" w:hAnsi="Arial Narrow"/>
          <w:sz w:val="28"/>
          <w:szCs w:val="28"/>
        </w:rPr>
        <w:t xml:space="preserve"> destinadas </w:t>
      </w:r>
      <w:r>
        <w:rPr>
          <w:rFonts w:ascii="Arial Narrow" w:hAnsi="Arial Narrow"/>
          <w:sz w:val="28"/>
          <w:szCs w:val="28"/>
        </w:rPr>
        <w:t>a los ciudadanos de sus territorios, para que puedan conocer mejor cómo funciona una Administración cercana</w:t>
      </w:r>
      <w:r w:rsidRPr="00BF6780">
        <w:rPr>
          <w:rFonts w:ascii="Arial Narrow" w:hAnsi="Arial Narrow"/>
          <w:sz w:val="28"/>
          <w:szCs w:val="28"/>
        </w:rPr>
        <w:t>, cuál</w:t>
      </w:r>
      <w:r>
        <w:rPr>
          <w:rFonts w:ascii="Arial Narrow" w:hAnsi="Arial Narrow"/>
          <w:sz w:val="28"/>
          <w:szCs w:val="28"/>
        </w:rPr>
        <w:t xml:space="preserve"> </w:t>
      </w:r>
      <w:r w:rsidRPr="00BF6780">
        <w:rPr>
          <w:rFonts w:ascii="Arial Narrow" w:hAnsi="Arial Narrow"/>
          <w:sz w:val="28"/>
          <w:szCs w:val="28"/>
        </w:rPr>
        <w:t>es el ámbito competencial de cada una de ellas</w:t>
      </w:r>
      <w:r>
        <w:rPr>
          <w:rFonts w:ascii="Arial Narrow" w:hAnsi="Arial Narrow"/>
          <w:sz w:val="28"/>
          <w:szCs w:val="28"/>
        </w:rPr>
        <w:t>, los servicios que ofrece</w:t>
      </w:r>
      <w:r w:rsidRPr="00BF6780">
        <w:rPr>
          <w:rFonts w:ascii="Arial Narrow" w:hAnsi="Arial Narrow"/>
          <w:sz w:val="28"/>
          <w:szCs w:val="28"/>
        </w:rPr>
        <w:t xml:space="preserve"> o cómo es el día a día</w:t>
      </w:r>
      <w:r>
        <w:rPr>
          <w:rFonts w:ascii="Arial Narrow" w:hAnsi="Arial Narrow"/>
          <w:sz w:val="28"/>
          <w:szCs w:val="28"/>
        </w:rPr>
        <w:t xml:space="preserve"> de los empleados públicos en su medio de trabajo.</w:t>
      </w:r>
    </w:p>
    <w:p w:rsidR="005C6C7D" w:rsidRPr="00BF6780" w:rsidRDefault="005C6C7D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 w:rsidRPr="00BF393C">
        <w:rPr>
          <w:rFonts w:ascii="Arial Narrow" w:hAnsi="Arial Narrow"/>
          <w:sz w:val="28"/>
          <w:szCs w:val="28"/>
        </w:rPr>
        <w:t xml:space="preserve">En las jornadas de puertas abiertas de Delegaciones y Subdelegaciones del Gobierno participarán, en distintos actos, el secretario general de Coordinación Territorial, Juan Ignacio Romero, y el director general de </w:t>
      </w:r>
      <w:r>
        <w:rPr>
          <w:rFonts w:ascii="Arial Narrow" w:hAnsi="Arial Narrow"/>
          <w:sz w:val="28"/>
          <w:szCs w:val="28"/>
        </w:rPr>
        <w:t xml:space="preserve">la </w:t>
      </w:r>
      <w:r w:rsidRPr="00BF393C">
        <w:rPr>
          <w:rFonts w:ascii="Arial Narrow" w:hAnsi="Arial Narrow"/>
          <w:sz w:val="28"/>
          <w:szCs w:val="28"/>
        </w:rPr>
        <w:t>Administración Periférica del Estado, Juan del Alcázar. Asimismo, una de las actividades destacadas, consistirá en una jornada de puertas abiertas, en la que los propios delegados del Gobierno recibirán a los participantes, presentarán el portal de transparencia, explicarán el trabajo de los funcionarios que trabajan con ellos y se someterán a las preguntas de los ciudadanos.</w:t>
      </w: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Pr="003931B1" w:rsidRDefault="003931B1" w:rsidP="003931B1">
      <w:pPr>
        <w:ind w:left="2127"/>
        <w:jc w:val="center"/>
        <w:rPr>
          <w:rFonts w:ascii="Arial Narrow" w:hAnsi="Arial Narrow"/>
          <w:b/>
          <w:sz w:val="28"/>
          <w:szCs w:val="28"/>
        </w:rPr>
      </w:pPr>
      <w:hyperlink r:id="rId8" w:history="1">
        <w:r w:rsidR="00CA48B1" w:rsidRPr="003931B1">
          <w:rPr>
            <w:rStyle w:val="Hipervnculo"/>
            <w:rFonts w:ascii="Arial Narrow" w:hAnsi="Arial Narrow"/>
            <w:b/>
            <w:sz w:val="28"/>
            <w:szCs w:val="28"/>
          </w:rPr>
          <w:t xml:space="preserve">Actividades </w:t>
        </w:r>
        <w:r w:rsidRPr="003931B1">
          <w:rPr>
            <w:rStyle w:val="Hipervnculo"/>
            <w:rFonts w:ascii="Arial Narrow" w:hAnsi="Arial Narrow"/>
            <w:b/>
            <w:sz w:val="28"/>
            <w:szCs w:val="28"/>
          </w:rPr>
          <w:t xml:space="preserve">de </w:t>
        </w:r>
        <w:r w:rsidR="00CA48B1" w:rsidRPr="003931B1">
          <w:rPr>
            <w:rStyle w:val="Hipervnculo"/>
            <w:rFonts w:ascii="Arial Narrow" w:hAnsi="Arial Narrow"/>
            <w:b/>
            <w:sz w:val="28"/>
            <w:szCs w:val="28"/>
          </w:rPr>
          <w:t>esta semana</w:t>
        </w:r>
      </w:hyperlink>
    </w:p>
    <w:p w:rsidR="00CA48B1" w:rsidRPr="00BF393C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3931B1" w:rsidRDefault="003931B1" w:rsidP="00CA48B1">
      <w:pPr>
        <w:ind w:left="2127"/>
        <w:rPr>
          <w:rFonts w:ascii="Arial Narrow" w:hAnsi="Arial Narrow"/>
          <w:b/>
          <w:sz w:val="28"/>
          <w:szCs w:val="28"/>
          <w:u w:val="single"/>
        </w:rPr>
      </w:pPr>
    </w:p>
    <w:p w:rsidR="00CA48B1" w:rsidRPr="00CA48B1" w:rsidRDefault="00CA48B1" w:rsidP="00CA48B1">
      <w:pPr>
        <w:ind w:left="2127"/>
        <w:rPr>
          <w:rFonts w:ascii="Arial Narrow" w:hAnsi="Arial Narrow"/>
          <w:b/>
          <w:sz w:val="28"/>
          <w:szCs w:val="28"/>
          <w:u w:val="single"/>
        </w:rPr>
      </w:pPr>
      <w:r w:rsidRPr="00CA48B1">
        <w:rPr>
          <w:rFonts w:ascii="Arial Narrow" w:hAnsi="Arial Narrow"/>
          <w:b/>
          <w:sz w:val="28"/>
          <w:szCs w:val="28"/>
          <w:u w:val="single"/>
        </w:rPr>
        <w:t>Gobierno Abierto</w:t>
      </w:r>
    </w:p>
    <w:p w:rsidR="00CA48B1" w:rsidRPr="00BF393C" w:rsidRDefault="00CA48B1" w:rsidP="00CA48B1">
      <w:pPr>
        <w:ind w:left="2127"/>
        <w:rPr>
          <w:rFonts w:ascii="Arial Narrow" w:hAnsi="Arial Narrow"/>
          <w:sz w:val="28"/>
          <w:szCs w:val="28"/>
          <w:u w:val="single"/>
        </w:rPr>
      </w:pPr>
    </w:p>
    <w:p w:rsidR="00CA48B1" w:rsidRDefault="00CA48B1" w:rsidP="00CA48B1">
      <w:pPr>
        <w:autoSpaceDE w:val="0"/>
        <w:autoSpaceDN w:val="0"/>
        <w:adjustRightInd w:val="0"/>
        <w:ind w:left="2127"/>
        <w:jc w:val="both"/>
        <w:rPr>
          <w:rFonts w:ascii="Arial Narrow" w:hAnsi="Arial Narrow"/>
          <w:sz w:val="28"/>
          <w:szCs w:val="28"/>
        </w:rPr>
      </w:pPr>
      <w:r w:rsidRPr="00BF393C">
        <w:rPr>
          <w:rFonts w:ascii="Arial Narrow" w:hAnsi="Arial Narrow"/>
          <w:sz w:val="28"/>
          <w:szCs w:val="28"/>
        </w:rPr>
        <w:t xml:space="preserve">El </w:t>
      </w:r>
      <w:r w:rsidRPr="00BF393C">
        <w:rPr>
          <w:rFonts w:ascii="Arial Narrow" w:hAnsi="Arial Narrow"/>
          <w:bCs/>
          <w:sz w:val="28"/>
          <w:szCs w:val="28"/>
        </w:rPr>
        <w:t>Tercer Plan de Gobierno Abierto, aprobado el 27 de junio de 2017</w:t>
      </w:r>
      <w:r w:rsidRPr="00BF393C">
        <w:rPr>
          <w:rFonts w:ascii="Arial Narrow" w:hAnsi="Arial Narrow"/>
          <w:sz w:val="28"/>
          <w:szCs w:val="28"/>
        </w:rPr>
        <w:t xml:space="preserve">, es el resultado de la </w:t>
      </w:r>
      <w:r w:rsidRPr="00BF393C">
        <w:rPr>
          <w:rFonts w:ascii="Arial Narrow" w:hAnsi="Arial Narrow"/>
          <w:bCs/>
          <w:sz w:val="28"/>
          <w:szCs w:val="28"/>
        </w:rPr>
        <w:t xml:space="preserve">colaboración y la participación </w:t>
      </w:r>
      <w:r w:rsidRPr="00BF393C">
        <w:rPr>
          <w:rFonts w:ascii="Arial Narrow" w:hAnsi="Arial Narrow"/>
          <w:sz w:val="28"/>
          <w:szCs w:val="28"/>
        </w:rPr>
        <w:t>de la Administración General del</w:t>
      </w:r>
      <w:r>
        <w:rPr>
          <w:rFonts w:ascii="Arial Narrow" w:hAnsi="Arial Narrow"/>
          <w:sz w:val="28"/>
          <w:szCs w:val="28"/>
        </w:rPr>
        <w:t xml:space="preserve"> </w:t>
      </w:r>
      <w:r w:rsidRPr="00BF393C">
        <w:rPr>
          <w:rFonts w:ascii="Arial Narrow" w:hAnsi="Arial Narrow"/>
          <w:sz w:val="28"/>
          <w:szCs w:val="28"/>
        </w:rPr>
        <w:t xml:space="preserve">Estado, Comunidades Autónomas, Entidades Locales y la sociedad civil. El tercer Plan incluye </w:t>
      </w:r>
      <w:r w:rsidRPr="00BF393C">
        <w:rPr>
          <w:rFonts w:ascii="Arial Narrow" w:hAnsi="Arial Narrow"/>
          <w:bCs/>
          <w:sz w:val="28"/>
          <w:szCs w:val="28"/>
        </w:rPr>
        <w:t xml:space="preserve">223 </w:t>
      </w:r>
      <w:r>
        <w:rPr>
          <w:rFonts w:ascii="Arial Narrow" w:hAnsi="Arial Narrow"/>
          <w:bCs/>
          <w:sz w:val="28"/>
          <w:szCs w:val="28"/>
        </w:rPr>
        <w:t>a</w:t>
      </w:r>
      <w:r w:rsidRPr="00BF393C">
        <w:rPr>
          <w:rFonts w:ascii="Arial Narrow" w:hAnsi="Arial Narrow"/>
          <w:bCs/>
          <w:sz w:val="28"/>
          <w:szCs w:val="28"/>
        </w:rPr>
        <w:t xml:space="preserve">ctividades </w:t>
      </w:r>
      <w:r w:rsidRPr="00BF393C">
        <w:rPr>
          <w:rFonts w:ascii="Arial Narrow" w:hAnsi="Arial Narrow"/>
          <w:sz w:val="28"/>
          <w:szCs w:val="28"/>
        </w:rPr>
        <w:t xml:space="preserve">en torno a </w:t>
      </w:r>
      <w:r w:rsidRPr="00BF393C">
        <w:rPr>
          <w:rFonts w:ascii="Arial Narrow" w:hAnsi="Arial Narrow"/>
          <w:bCs/>
          <w:sz w:val="28"/>
          <w:szCs w:val="28"/>
        </w:rPr>
        <w:t>20 compromisos estructurados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BF393C">
        <w:rPr>
          <w:rFonts w:ascii="Arial Narrow" w:hAnsi="Arial Narrow"/>
          <w:sz w:val="28"/>
          <w:szCs w:val="28"/>
        </w:rPr>
        <w:t xml:space="preserve">en </w:t>
      </w:r>
      <w:r w:rsidRPr="00BF393C">
        <w:rPr>
          <w:rFonts w:ascii="Arial Narrow" w:hAnsi="Arial Narrow"/>
          <w:bCs/>
          <w:sz w:val="28"/>
          <w:szCs w:val="28"/>
        </w:rPr>
        <w:t>5 grandes ejes</w:t>
      </w:r>
      <w:r w:rsidRPr="00BF393C">
        <w:rPr>
          <w:rFonts w:ascii="Arial Narrow" w:hAnsi="Arial Narrow"/>
          <w:sz w:val="28"/>
          <w:szCs w:val="28"/>
        </w:rPr>
        <w:t>: Colaboración, Participación, Transparencia, Rendición de</w:t>
      </w:r>
      <w:r>
        <w:rPr>
          <w:rFonts w:ascii="Arial Narrow" w:hAnsi="Arial Narrow"/>
          <w:sz w:val="28"/>
          <w:szCs w:val="28"/>
        </w:rPr>
        <w:t xml:space="preserve"> Cuentas y Formación.</w:t>
      </w:r>
    </w:p>
    <w:p w:rsidR="00CA48B1" w:rsidRPr="00BF393C" w:rsidRDefault="00CA48B1" w:rsidP="00CA48B1">
      <w:pPr>
        <w:autoSpaceDE w:val="0"/>
        <w:autoSpaceDN w:val="0"/>
        <w:adjustRightInd w:val="0"/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 w:rsidRPr="00BF393C">
        <w:rPr>
          <w:rFonts w:ascii="Arial Narrow" w:hAnsi="Arial Narrow"/>
          <w:sz w:val="28"/>
          <w:szCs w:val="28"/>
        </w:rPr>
        <w:t xml:space="preserve">España forma parte desde 2011 de la Alianza internacional de Gobierno Abierto y desde entonces ha presentado tres planes de acción encaminados a </w:t>
      </w:r>
      <w:r>
        <w:rPr>
          <w:rFonts w:ascii="Arial Narrow" w:hAnsi="Arial Narrow"/>
          <w:sz w:val="28"/>
          <w:szCs w:val="28"/>
        </w:rPr>
        <w:t>mejorar</w:t>
      </w:r>
      <w:r w:rsidRPr="00BF393C">
        <w:rPr>
          <w:rFonts w:ascii="Arial Narrow" w:hAnsi="Arial Narrow"/>
          <w:sz w:val="28"/>
          <w:szCs w:val="28"/>
        </w:rPr>
        <w:t xml:space="preserve"> la transparencia pública, la rendición de cuentas, la lucha contra la corrupción, la colaboración con la sociedad civil, la participación ciudadana y la formación</w:t>
      </w:r>
      <w:r>
        <w:rPr>
          <w:rFonts w:ascii="Arial Narrow" w:hAnsi="Arial Narrow"/>
          <w:sz w:val="28"/>
          <w:szCs w:val="28"/>
        </w:rPr>
        <w:t xml:space="preserve"> en estos valores.</w:t>
      </w:r>
    </w:p>
    <w:p w:rsidR="00CA48B1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CA48B1" w:rsidRPr="00BF393C" w:rsidRDefault="00CA48B1" w:rsidP="00CA48B1">
      <w:pPr>
        <w:ind w:left="2127"/>
        <w:jc w:val="both"/>
        <w:rPr>
          <w:rFonts w:ascii="Arial Narrow" w:hAnsi="Arial Narrow"/>
          <w:sz w:val="28"/>
          <w:szCs w:val="28"/>
        </w:rPr>
      </w:pPr>
      <w:r w:rsidRPr="00BF393C">
        <w:rPr>
          <w:rFonts w:ascii="Arial Narrow" w:hAnsi="Arial Narrow"/>
          <w:sz w:val="28"/>
          <w:szCs w:val="28"/>
        </w:rPr>
        <w:t>Del primer plan salió la aprobación de la Ley de Transparencia</w:t>
      </w:r>
      <w:r>
        <w:rPr>
          <w:rFonts w:ascii="Arial Narrow" w:hAnsi="Arial Narrow"/>
          <w:sz w:val="28"/>
          <w:szCs w:val="28"/>
        </w:rPr>
        <w:t xml:space="preserve">. En el tercero, aprobado en 2017, </w:t>
      </w:r>
      <w:r w:rsidRPr="00BF393C">
        <w:rPr>
          <w:rFonts w:ascii="Arial Narrow" w:hAnsi="Arial Narrow"/>
          <w:sz w:val="28"/>
          <w:szCs w:val="28"/>
        </w:rPr>
        <w:t>de las 223 actividades incluidas</w:t>
      </w:r>
      <w:r>
        <w:rPr>
          <w:rFonts w:ascii="Arial Narrow" w:hAnsi="Arial Narrow"/>
          <w:sz w:val="28"/>
          <w:szCs w:val="28"/>
        </w:rPr>
        <w:t>, el</w:t>
      </w:r>
      <w:r w:rsidRPr="00BF393C">
        <w:rPr>
          <w:rFonts w:ascii="Arial Narrow" w:hAnsi="Arial Narrow"/>
          <w:sz w:val="28"/>
          <w:szCs w:val="28"/>
        </w:rPr>
        <w:t xml:space="preserve"> 46% de ellas ya </w:t>
      </w:r>
      <w:r>
        <w:rPr>
          <w:rFonts w:ascii="Arial Narrow" w:hAnsi="Arial Narrow"/>
          <w:sz w:val="28"/>
          <w:szCs w:val="28"/>
        </w:rPr>
        <w:t>e</w:t>
      </w:r>
      <w:r w:rsidRPr="00BF393C">
        <w:rPr>
          <w:rFonts w:ascii="Arial Narrow" w:hAnsi="Arial Narrow"/>
          <w:sz w:val="28"/>
          <w:szCs w:val="28"/>
        </w:rPr>
        <w:t xml:space="preserve">staba en curso a </w:t>
      </w:r>
      <w:r>
        <w:rPr>
          <w:rFonts w:ascii="Arial Narrow" w:hAnsi="Arial Narrow"/>
          <w:sz w:val="28"/>
          <w:szCs w:val="28"/>
        </w:rPr>
        <w:t>finales</w:t>
      </w:r>
      <w:r w:rsidRPr="00BF393C">
        <w:rPr>
          <w:rFonts w:ascii="Arial Narrow" w:hAnsi="Arial Narrow"/>
          <w:sz w:val="28"/>
          <w:szCs w:val="28"/>
        </w:rPr>
        <w:t xml:space="preserve"> de</w:t>
      </w:r>
      <w:r>
        <w:rPr>
          <w:rFonts w:ascii="Arial Narrow" w:hAnsi="Arial Narrow"/>
          <w:sz w:val="28"/>
          <w:szCs w:val="28"/>
        </w:rPr>
        <w:t>l</w:t>
      </w:r>
      <w:r w:rsidRPr="00BF393C">
        <w:rPr>
          <w:rFonts w:ascii="Arial Narrow" w:hAnsi="Arial Narrow"/>
          <w:sz w:val="28"/>
          <w:szCs w:val="28"/>
        </w:rPr>
        <w:t xml:space="preserve"> año pasado</w:t>
      </w:r>
      <w:r>
        <w:rPr>
          <w:rFonts w:ascii="Arial Narrow" w:hAnsi="Arial Narrow"/>
          <w:sz w:val="28"/>
          <w:szCs w:val="28"/>
        </w:rPr>
        <w:t xml:space="preserve"> </w:t>
      </w:r>
      <w:r w:rsidRPr="00BF393C">
        <w:rPr>
          <w:rFonts w:ascii="Arial Narrow" w:hAnsi="Arial Narrow"/>
          <w:sz w:val="28"/>
          <w:szCs w:val="28"/>
        </w:rPr>
        <w:t>y el 21% había finalizado.</w:t>
      </w:r>
    </w:p>
    <w:p w:rsidR="00CA48B1" w:rsidRPr="004D4E6F" w:rsidRDefault="00CA48B1" w:rsidP="00CA48B1">
      <w:pPr>
        <w:rPr>
          <w:rFonts w:ascii="Arial Narrow" w:hAnsi="Arial Narrow"/>
          <w:sz w:val="28"/>
          <w:szCs w:val="28"/>
        </w:rPr>
      </w:pPr>
    </w:p>
    <w:p w:rsidR="00CA48B1" w:rsidRPr="00CA48B1" w:rsidRDefault="00CA48B1" w:rsidP="00CA48B1">
      <w:pPr>
        <w:pStyle w:val="Piedepgina"/>
        <w:ind w:left="2127"/>
        <w:rPr>
          <w:rFonts w:ascii="Arial Narrow" w:hAnsi="Arial Narrow"/>
          <w:color w:val="000000" w:themeColor="text1"/>
          <w:sz w:val="28"/>
          <w:szCs w:val="28"/>
          <w:lang w:val="es-ES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sectPr w:rsidR="007F1FC8" w:rsidSect="002D78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849" w:bottom="1701" w:left="346" w:header="284" w:footer="17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F6" w:rsidRDefault="00A245F6">
      <w:r>
        <w:separator/>
      </w:r>
    </w:p>
  </w:endnote>
  <w:endnote w:type="continuationSeparator" w:id="0">
    <w:p w:rsidR="00A245F6" w:rsidRDefault="00A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9A68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Pr="009A382B" w:rsidRDefault="009971D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9971DB" w:rsidRDefault="009971D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A68B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A68B7">
            <w:rPr>
              <w:sz w:val="20"/>
            </w:rPr>
            <w:fldChar w:fldCharType="separate"/>
          </w:r>
          <w:r w:rsidR="003931B1">
            <w:rPr>
              <w:noProof/>
              <w:sz w:val="20"/>
            </w:rPr>
            <w:t>2</w:t>
          </w:r>
          <w:r w:rsidR="009A68B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A68B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A68B7">
            <w:rPr>
              <w:sz w:val="20"/>
            </w:rPr>
            <w:fldChar w:fldCharType="separate"/>
          </w:r>
          <w:r w:rsidR="003931B1">
            <w:rPr>
              <w:noProof/>
              <w:sz w:val="20"/>
            </w:rPr>
            <w:t>2</w:t>
          </w:r>
          <w:r w:rsidR="009A68B7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Default="009971DB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9971DB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jc w:val="center"/>
            <w:rPr>
              <w:rFonts w:ascii="Arial Narrow" w:hAnsi="Arial Narrow"/>
              <w:sz w:val="18"/>
            </w:rPr>
          </w:pPr>
        </w:p>
        <w:p w:rsidR="009971DB" w:rsidRDefault="009971DB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RPr="00563534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A68B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A68B7">
            <w:rPr>
              <w:sz w:val="20"/>
            </w:rPr>
            <w:fldChar w:fldCharType="separate"/>
          </w:r>
          <w:r w:rsidR="003931B1">
            <w:rPr>
              <w:noProof/>
              <w:sz w:val="20"/>
            </w:rPr>
            <w:t>1</w:t>
          </w:r>
          <w:r w:rsidR="009A68B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A68B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A68B7">
            <w:rPr>
              <w:sz w:val="20"/>
            </w:rPr>
            <w:fldChar w:fldCharType="separate"/>
          </w:r>
          <w:r w:rsidR="003931B1">
            <w:rPr>
              <w:noProof/>
              <w:sz w:val="20"/>
            </w:rPr>
            <w:t>2</w:t>
          </w:r>
          <w:r w:rsidR="009A68B7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F6" w:rsidRDefault="00A245F6">
      <w:r>
        <w:separator/>
      </w:r>
    </w:p>
  </w:footnote>
  <w:footnote w:type="continuationSeparator" w:id="0">
    <w:p w:rsidR="00A245F6" w:rsidRDefault="00A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87215824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9971DB" w:rsidRDefault="009971DB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in;height:3in" o:bullet="t"/>
    </w:pict>
  </w:numPicBullet>
  <w:numPicBullet w:numPicBulletId="1">
    <w:pict>
      <v:shape id="_x0000_i1088" type="#_x0000_t75" style="width:3in;height:3in" o:bullet="t"/>
    </w:pict>
  </w:numPicBullet>
  <w:numPicBullet w:numPicBulletId="2">
    <w:pict>
      <v:shape id="_x0000_i1089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A5347FB"/>
    <w:multiLevelType w:val="hybridMultilevel"/>
    <w:tmpl w:val="3CCAA300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5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39B229E3"/>
    <w:multiLevelType w:val="hybridMultilevel"/>
    <w:tmpl w:val="33C45ECA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109F0"/>
    <w:multiLevelType w:val="hybridMultilevel"/>
    <w:tmpl w:val="FC7EF144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567E58BA"/>
    <w:multiLevelType w:val="hybridMultilevel"/>
    <w:tmpl w:val="4D482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F3915"/>
    <w:multiLevelType w:val="hybridMultilevel"/>
    <w:tmpl w:val="1974DA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16590"/>
    <w:multiLevelType w:val="hybridMultilevel"/>
    <w:tmpl w:val="DCFEA3E8"/>
    <w:lvl w:ilvl="0" w:tplc="3A3EA970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B1C68"/>
    <w:multiLevelType w:val="hybridMultilevel"/>
    <w:tmpl w:val="F7E0F7EE"/>
    <w:lvl w:ilvl="0" w:tplc="9B988D58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E56"/>
    <w:multiLevelType w:val="hybridMultilevel"/>
    <w:tmpl w:val="FFE238EE"/>
    <w:lvl w:ilvl="0" w:tplc="B9C08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B9C089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6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74867"/>
    <w:multiLevelType w:val="hybridMultilevel"/>
    <w:tmpl w:val="A0D20ED0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14"/>
  </w:num>
  <w:num w:numId="4">
    <w:abstractNumId w:val="38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25"/>
  </w:num>
  <w:num w:numId="17">
    <w:abstractNumId w:val="7"/>
  </w:num>
  <w:num w:numId="18">
    <w:abstractNumId w:val="35"/>
  </w:num>
  <w:num w:numId="19">
    <w:abstractNumId w:val="13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21"/>
  </w:num>
  <w:num w:numId="25">
    <w:abstractNumId w:val="29"/>
  </w:num>
  <w:num w:numId="26">
    <w:abstractNumId w:val="17"/>
  </w:num>
  <w:num w:numId="27">
    <w:abstractNumId w:val="30"/>
  </w:num>
  <w:num w:numId="28">
    <w:abstractNumId w:val="20"/>
  </w:num>
  <w:num w:numId="29">
    <w:abstractNumId w:val="5"/>
  </w:num>
  <w:num w:numId="30">
    <w:abstractNumId w:val="33"/>
  </w:num>
  <w:num w:numId="31">
    <w:abstractNumId w:val="4"/>
  </w:num>
  <w:num w:numId="32">
    <w:abstractNumId w:val="39"/>
  </w:num>
  <w:num w:numId="33">
    <w:abstractNumId w:val="2"/>
  </w:num>
  <w:num w:numId="34">
    <w:abstractNumId w:val="24"/>
  </w:num>
  <w:num w:numId="35">
    <w:abstractNumId w:val="27"/>
  </w:num>
  <w:num w:numId="36">
    <w:abstractNumId w:val="32"/>
  </w:num>
  <w:num w:numId="37">
    <w:abstractNumId w:val="18"/>
  </w:num>
  <w:num w:numId="38">
    <w:abstractNumId w:val="3"/>
  </w:num>
  <w:num w:numId="39">
    <w:abstractNumId w:val="37"/>
  </w:num>
  <w:num w:numId="40">
    <w:abstractNumId w:val="34"/>
  </w:num>
  <w:num w:numId="41">
    <w:abstractNumId w:val="2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57A1"/>
    <w:rsid w:val="0005265F"/>
    <w:rsid w:val="00071994"/>
    <w:rsid w:val="000A7BEA"/>
    <w:rsid w:val="000C1117"/>
    <w:rsid w:val="000C7FA0"/>
    <w:rsid w:val="000D035E"/>
    <w:rsid w:val="000D1A2A"/>
    <w:rsid w:val="000D54EA"/>
    <w:rsid w:val="000E1C2A"/>
    <w:rsid w:val="000E2AD6"/>
    <w:rsid w:val="000E5254"/>
    <w:rsid w:val="000E65B4"/>
    <w:rsid w:val="000F15DD"/>
    <w:rsid w:val="00103EB4"/>
    <w:rsid w:val="00110187"/>
    <w:rsid w:val="00120E2A"/>
    <w:rsid w:val="001224D9"/>
    <w:rsid w:val="00134A12"/>
    <w:rsid w:val="00153EFF"/>
    <w:rsid w:val="00161367"/>
    <w:rsid w:val="001630B7"/>
    <w:rsid w:val="00170DB9"/>
    <w:rsid w:val="001778F0"/>
    <w:rsid w:val="0019632B"/>
    <w:rsid w:val="001964EB"/>
    <w:rsid w:val="001A1444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24A4"/>
    <w:rsid w:val="00207791"/>
    <w:rsid w:val="0021516E"/>
    <w:rsid w:val="00223E48"/>
    <w:rsid w:val="00224944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3020F4"/>
    <w:rsid w:val="00314359"/>
    <w:rsid w:val="00315D16"/>
    <w:rsid w:val="00322582"/>
    <w:rsid w:val="00353F88"/>
    <w:rsid w:val="003708A9"/>
    <w:rsid w:val="00374331"/>
    <w:rsid w:val="00391C0A"/>
    <w:rsid w:val="003931B1"/>
    <w:rsid w:val="003A0090"/>
    <w:rsid w:val="003A06DC"/>
    <w:rsid w:val="003B13D7"/>
    <w:rsid w:val="003C3F4F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40100"/>
    <w:rsid w:val="0044337F"/>
    <w:rsid w:val="004656EE"/>
    <w:rsid w:val="00465F03"/>
    <w:rsid w:val="004921A5"/>
    <w:rsid w:val="0049543F"/>
    <w:rsid w:val="004B3D4B"/>
    <w:rsid w:val="004C13E6"/>
    <w:rsid w:val="004C3859"/>
    <w:rsid w:val="004C5C74"/>
    <w:rsid w:val="004D06B4"/>
    <w:rsid w:val="004D3E2C"/>
    <w:rsid w:val="004D55CE"/>
    <w:rsid w:val="004F65C9"/>
    <w:rsid w:val="00500E8F"/>
    <w:rsid w:val="005413C8"/>
    <w:rsid w:val="0054140D"/>
    <w:rsid w:val="00563534"/>
    <w:rsid w:val="00565B42"/>
    <w:rsid w:val="0057406C"/>
    <w:rsid w:val="00574754"/>
    <w:rsid w:val="005945F6"/>
    <w:rsid w:val="005A6181"/>
    <w:rsid w:val="005B101F"/>
    <w:rsid w:val="005B2EDF"/>
    <w:rsid w:val="005C67F2"/>
    <w:rsid w:val="005C6C7D"/>
    <w:rsid w:val="005E5D1E"/>
    <w:rsid w:val="005F531E"/>
    <w:rsid w:val="005F5711"/>
    <w:rsid w:val="00606058"/>
    <w:rsid w:val="0060711C"/>
    <w:rsid w:val="006123F1"/>
    <w:rsid w:val="00615EB9"/>
    <w:rsid w:val="00624D9C"/>
    <w:rsid w:val="00637899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16F2A"/>
    <w:rsid w:val="00722701"/>
    <w:rsid w:val="00732210"/>
    <w:rsid w:val="00735798"/>
    <w:rsid w:val="0073681D"/>
    <w:rsid w:val="00736BF9"/>
    <w:rsid w:val="00736DE3"/>
    <w:rsid w:val="00743BCE"/>
    <w:rsid w:val="00745DD4"/>
    <w:rsid w:val="0075241F"/>
    <w:rsid w:val="0075522B"/>
    <w:rsid w:val="007567FD"/>
    <w:rsid w:val="00761150"/>
    <w:rsid w:val="00767109"/>
    <w:rsid w:val="00774547"/>
    <w:rsid w:val="00777DAA"/>
    <w:rsid w:val="00795176"/>
    <w:rsid w:val="00795D69"/>
    <w:rsid w:val="007A5AFB"/>
    <w:rsid w:val="007B0F92"/>
    <w:rsid w:val="007D35ED"/>
    <w:rsid w:val="007D7FB0"/>
    <w:rsid w:val="007E253A"/>
    <w:rsid w:val="007F1FC8"/>
    <w:rsid w:val="007F3868"/>
    <w:rsid w:val="00810BF1"/>
    <w:rsid w:val="00813A82"/>
    <w:rsid w:val="00813F4A"/>
    <w:rsid w:val="00814F1E"/>
    <w:rsid w:val="00815408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960EC"/>
    <w:rsid w:val="008A5360"/>
    <w:rsid w:val="008A68DE"/>
    <w:rsid w:val="008B4634"/>
    <w:rsid w:val="008B4788"/>
    <w:rsid w:val="008B6A31"/>
    <w:rsid w:val="008D6C4D"/>
    <w:rsid w:val="008E5658"/>
    <w:rsid w:val="008F3950"/>
    <w:rsid w:val="00901A78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971DB"/>
    <w:rsid w:val="009A382B"/>
    <w:rsid w:val="009A68B7"/>
    <w:rsid w:val="009C1BBD"/>
    <w:rsid w:val="009C6577"/>
    <w:rsid w:val="009E4934"/>
    <w:rsid w:val="00A03410"/>
    <w:rsid w:val="00A0758E"/>
    <w:rsid w:val="00A07DA3"/>
    <w:rsid w:val="00A156D6"/>
    <w:rsid w:val="00A15B16"/>
    <w:rsid w:val="00A2343D"/>
    <w:rsid w:val="00A245F6"/>
    <w:rsid w:val="00A3004D"/>
    <w:rsid w:val="00A567E7"/>
    <w:rsid w:val="00A65ADD"/>
    <w:rsid w:val="00A6664C"/>
    <w:rsid w:val="00A80EEE"/>
    <w:rsid w:val="00AA37F8"/>
    <w:rsid w:val="00AB566B"/>
    <w:rsid w:val="00AB72EA"/>
    <w:rsid w:val="00AD02FD"/>
    <w:rsid w:val="00AF6685"/>
    <w:rsid w:val="00B107C7"/>
    <w:rsid w:val="00B16649"/>
    <w:rsid w:val="00B40455"/>
    <w:rsid w:val="00B4057B"/>
    <w:rsid w:val="00B50FF9"/>
    <w:rsid w:val="00B51233"/>
    <w:rsid w:val="00B51910"/>
    <w:rsid w:val="00B530E9"/>
    <w:rsid w:val="00B615B5"/>
    <w:rsid w:val="00B71CF5"/>
    <w:rsid w:val="00B81427"/>
    <w:rsid w:val="00B81B0B"/>
    <w:rsid w:val="00B86B3D"/>
    <w:rsid w:val="00BA2961"/>
    <w:rsid w:val="00BB55D9"/>
    <w:rsid w:val="00BC5471"/>
    <w:rsid w:val="00BC5D55"/>
    <w:rsid w:val="00BE3384"/>
    <w:rsid w:val="00BF03E5"/>
    <w:rsid w:val="00BF1296"/>
    <w:rsid w:val="00C0109F"/>
    <w:rsid w:val="00C0137C"/>
    <w:rsid w:val="00C06F60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02F4"/>
    <w:rsid w:val="00C6591F"/>
    <w:rsid w:val="00C73A7A"/>
    <w:rsid w:val="00C73EF2"/>
    <w:rsid w:val="00C75124"/>
    <w:rsid w:val="00C9522E"/>
    <w:rsid w:val="00CA48B1"/>
    <w:rsid w:val="00CB149A"/>
    <w:rsid w:val="00CC359B"/>
    <w:rsid w:val="00CD4CC5"/>
    <w:rsid w:val="00CF57A7"/>
    <w:rsid w:val="00CF609F"/>
    <w:rsid w:val="00D00764"/>
    <w:rsid w:val="00D0214F"/>
    <w:rsid w:val="00D17993"/>
    <w:rsid w:val="00D21F8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0987"/>
    <w:rsid w:val="00ED68AD"/>
    <w:rsid w:val="00EE2F42"/>
    <w:rsid w:val="00EE6407"/>
    <w:rsid w:val="00F01114"/>
    <w:rsid w:val="00F4155E"/>
    <w:rsid w:val="00F54ED2"/>
    <w:rsid w:val="00F56852"/>
    <w:rsid w:val="00F56D9D"/>
    <w:rsid w:val="00F64C3B"/>
    <w:rsid w:val="00F66E74"/>
    <w:rsid w:val="00F73594"/>
    <w:rsid w:val="00F738DA"/>
    <w:rsid w:val="00F95F9A"/>
    <w:rsid w:val="00F96EF7"/>
    <w:rsid w:val="00FA7585"/>
    <w:rsid w:val="00FB01E1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F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123F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123F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6123F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6123F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6123F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6123F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6123F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6123F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6123F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6123F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6123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6123F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6123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23F1"/>
  </w:style>
  <w:style w:type="paragraph" w:customStyle="1" w:styleId="Rpido">
    <w:name w:val="Rápido _"/>
    <w:rsid w:val="006123F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6123F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6123F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6123F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5C6C7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gob.es/transparencia/transparencia_Home/index/GobiernoParticipacion/Gobierno-abierto/semanaGA2018/semanaGA_MAP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E5A-90D7-41FD-B039-D854716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4005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2017-04-04T15:46:00Z</cp:lastPrinted>
  <dcterms:created xsi:type="dcterms:W3CDTF">2018-05-07T14:30:00Z</dcterms:created>
  <dcterms:modified xsi:type="dcterms:W3CDTF">2018-05-07T14:30:00Z</dcterms:modified>
</cp:coreProperties>
</file>