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08" w:rsidRDefault="00253C21" w:rsidP="002161E5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  <w:r>
        <w:rPr>
          <w:rFonts w:ascii="Arial Narrow" w:hAnsi="Arial Narrow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8120E" wp14:editId="52196B04">
                <wp:simplePos x="0" y="0"/>
                <wp:positionH relativeFrom="column">
                  <wp:posOffset>-78740</wp:posOffset>
                </wp:positionH>
                <wp:positionV relativeFrom="paragraph">
                  <wp:posOffset>-832485</wp:posOffset>
                </wp:positionV>
                <wp:extent cx="800100" cy="664273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ED" w:rsidRDefault="00ED61ED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 w:rsidRPr="007F4247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color w:val="999999"/>
                              </w:rPr>
                              <w:t xml:space="preserve">      Nota de Prensa PrensaPrensaComunicado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2pt;margin-top:-65.55pt;width:63pt;height:5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mWtQIAALw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" filled="f" stroked="f">
                <v:textbox style="layout-flow:vertical;mso-layout-flow-alt:bottom-to-top">
                  <w:txbxContent>
                    <w:p w:rsidR="00ED61ED" w:rsidRDefault="00ED61ED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 w:rsidRPr="007F4247">
                        <w:rPr>
                          <w:b w:val="0"/>
                          <w:bCs w:val="0"/>
                          <w:noProof/>
                          <w:color w:val="auto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color w:val="999999"/>
                        </w:rPr>
                        <w:t xml:space="preserve">      Nota de Prensa PrensaPrensaComunicado</w:t>
                      </w:r>
                    </w:p>
                  </w:txbxContent>
                </v:textbox>
              </v:shape>
            </w:pict>
          </mc:Fallback>
        </mc:AlternateContent>
      </w:r>
      <w:r w:rsidR="00B7502E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                       </w:t>
      </w:r>
      <w:r w:rsidR="00F00EDD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</w:t>
      </w:r>
    </w:p>
    <w:p w:rsid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12398B" w:rsidRDefault="0012398B" w:rsidP="00534E32">
      <w:pPr>
        <w:pStyle w:val="Piedepgina"/>
        <w:ind w:left="2127"/>
        <w:rPr>
          <w:rFonts w:ascii="Arial Narrow" w:hAnsi="Arial Narrow"/>
          <w:noProof/>
          <w:sz w:val="28"/>
          <w:szCs w:val="28"/>
          <w:u w:val="single"/>
          <w:lang w:val="es-ES"/>
        </w:rPr>
      </w:pPr>
    </w:p>
    <w:p w:rsidR="00534E32" w:rsidRPr="00534E32" w:rsidRDefault="00534E32" w:rsidP="00534E32">
      <w:pPr>
        <w:pStyle w:val="Piedepgina"/>
        <w:ind w:left="2127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AB422A" w:rsidRPr="00AB422A" w:rsidRDefault="00AB422A" w:rsidP="00AB422A">
      <w:pPr>
        <w:pStyle w:val="Piedepgina"/>
        <w:ind w:left="2127"/>
        <w:jc w:val="center"/>
        <w:rPr>
          <w:rFonts w:ascii="Arial Narrow" w:hAnsi="Arial Narrow"/>
          <w:b/>
          <w:noProof/>
          <w:sz w:val="48"/>
          <w:szCs w:val="48"/>
          <w:lang w:val="es-ES"/>
        </w:rPr>
      </w:pPr>
      <w:r w:rsidRPr="00AB422A">
        <w:rPr>
          <w:rFonts w:ascii="Arial Narrow" w:hAnsi="Arial Narrow"/>
          <w:b/>
          <w:noProof/>
          <w:sz w:val="48"/>
          <w:szCs w:val="48"/>
          <w:lang w:val="es-ES"/>
        </w:rPr>
        <w:t>Reunión de la Comisión Interministerial de Coordinación de la Administración Periférica del Estado para informar sobre el Brexit y la situación de emergencias y protección civil</w:t>
      </w:r>
    </w:p>
    <w:p w:rsidR="00AB422A" w:rsidRPr="00534E32" w:rsidRDefault="00AB422A" w:rsidP="00D02598">
      <w:pPr>
        <w:pStyle w:val="Piedepgina"/>
        <w:ind w:left="2127"/>
        <w:jc w:val="center"/>
        <w:rPr>
          <w:rFonts w:ascii="Arial Narrow" w:hAnsi="Arial Narrow"/>
          <w:b/>
          <w:noProof/>
          <w:sz w:val="48"/>
          <w:szCs w:val="48"/>
          <w:lang w:val="es-ES"/>
        </w:rPr>
      </w:pPr>
    </w:p>
    <w:p w:rsidR="00534E32" w:rsidRPr="00534E32" w:rsidRDefault="00534E32" w:rsidP="00534E32">
      <w:pPr>
        <w:pStyle w:val="Piedepgina"/>
        <w:ind w:left="2127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ED61ED" w:rsidRDefault="00534E32" w:rsidP="00ED61ED">
      <w:pPr>
        <w:pStyle w:val="Piedepgina"/>
        <w:numPr>
          <w:ilvl w:val="0"/>
          <w:numId w:val="47"/>
        </w:numPr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 w:rsidRPr="00534E32">
        <w:rPr>
          <w:rFonts w:ascii="Arial Narrow" w:hAnsi="Arial Narrow"/>
          <w:b/>
          <w:noProof/>
          <w:sz w:val="28"/>
          <w:szCs w:val="28"/>
          <w:lang w:val="es-ES"/>
        </w:rPr>
        <w:t>E</w:t>
      </w:r>
      <w:r w:rsidR="000E47E8">
        <w:rPr>
          <w:rFonts w:ascii="Arial Narrow" w:hAnsi="Arial Narrow"/>
          <w:b/>
          <w:noProof/>
          <w:sz w:val="28"/>
          <w:szCs w:val="28"/>
          <w:lang w:val="es-ES"/>
        </w:rPr>
        <w:t>l ministro de Agricultura, Pesca y Alimentación ha</w:t>
      </w:r>
      <w:r w:rsidR="00ED61ED">
        <w:rPr>
          <w:rFonts w:ascii="Arial Narrow" w:hAnsi="Arial Narrow"/>
          <w:b/>
          <w:noProof/>
          <w:sz w:val="28"/>
          <w:szCs w:val="28"/>
          <w:lang w:val="es-ES"/>
        </w:rPr>
        <w:t xml:space="preserve"> presidido la reunión de la C</w:t>
      </w:r>
      <w:r w:rsidR="00ED61ED" w:rsidRPr="00ED61ED">
        <w:rPr>
          <w:rFonts w:ascii="Arial Narrow" w:hAnsi="Arial Narrow"/>
          <w:b/>
          <w:noProof/>
          <w:sz w:val="28"/>
          <w:szCs w:val="28"/>
          <w:lang w:val="es-ES"/>
        </w:rPr>
        <w:t>omisión Interministerial de Coordinación de la Administración Periférica del Estado</w:t>
      </w:r>
      <w:r w:rsidR="00EE7364">
        <w:rPr>
          <w:rFonts w:ascii="Arial Narrow" w:hAnsi="Arial Narrow"/>
          <w:b/>
          <w:noProof/>
          <w:sz w:val="28"/>
          <w:szCs w:val="28"/>
          <w:lang w:val="es-ES"/>
        </w:rPr>
        <w:t xml:space="preserve"> en la sede del Ministerio de Política Territorial y Función Pública </w:t>
      </w:r>
      <w:r w:rsidR="00ED61ED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</w:p>
    <w:p w:rsidR="00EE7364" w:rsidRDefault="00EE7364" w:rsidP="00EE7364">
      <w:pPr>
        <w:pStyle w:val="Piedepgina"/>
        <w:ind w:left="2847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534E32" w:rsidRDefault="00534E32" w:rsidP="00ED61ED">
      <w:pPr>
        <w:pStyle w:val="Piedepgina"/>
        <w:ind w:left="2487"/>
        <w:jc w:val="both"/>
        <w:rPr>
          <w:rFonts w:ascii="Arial Narrow" w:hAnsi="Arial Narrow"/>
          <w:b/>
          <w:noProof/>
          <w:sz w:val="28"/>
          <w:szCs w:val="28"/>
        </w:rPr>
      </w:pPr>
    </w:p>
    <w:p w:rsidR="00ED61ED" w:rsidRPr="001A7B75" w:rsidRDefault="00ED61ED" w:rsidP="00ED61ED">
      <w:pPr>
        <w:pStyle w:val="Piedepgina"/>
        <w:ind w:left="212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25 de septiembre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e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2019</w:t>
      </w:r>
      <w:r>
        <w:rPr>
          <w:rFonts w:ascii="Arial Narrow" w:hAnsi="Arial Narrow" w:cs="Arial Narrow"/>
          <w:spacing w:val="3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pacing w:val="1"/>
          <w:sz w:val="28"/>
          <w:szCs w:val="28"/>
        </w:rPr>
        <w:t xml:space="preserve"> El ministro de </w:t>
      </w:r>
      <w:r>
        <w:rPr>
          <w:rFonts w:ascii="Arial Narrow" w:hAnsi="Arial Narrow" w:cs="Arial Narrow"/>
          <w:sz w:val="28"/>
          <w:szCs w:val="28"/>
        </w:rPr>
        <w:t xml:space="preserve">Agricultura, Pesca y Alimentación en funciones, Luis Planas, que asume también las competencias de Política Territorial y Función Pública, ha presidido hoy la 11ª reunión </w:t>
      </w:r>
      <w:r w:rsidRPr="001A7B75">
        <w:rPr>
          <w:rFonts w:ascii="Arial Narrow" w:hAnsi="Arial Narrow" w:cs="Arial Narrow"/>
          <w:sz w:val="28"/>
          <w:szCs w:val="28"/>
        </w:rPr>
        <w:t>de la Comisión Interministerial de Coordinación de la Administración Periférica del Estado</w:t>
      </w:r>
      <w:r>
        <w:rPr>
          <w:rFonts w:ascii="Arial Narrow" w:hAnsi="Arial Narrow" w:cs="Arial Narrow"/>
          <w:sz w:val="28"/>
          <w:szCs w:val="28"/>
        </w:rPr>
        <w:t>, órgano con las funciones de</w:t>
      </w:r>
      <w:r w:rsidRPr="001A7B75">
        <w:rPr>
          <w:rFonts w:ascii="Arial Narrow" w:hAnsi="Arial Narrow" w:cs="Arial Narrow"/>
          <w:sz w:val="28"/>
          <w:szCs w:val="28"/>
        </w:rPr>
        <w:t xml:space="preserve"> coordinar la actuación de las representaciones de la Administración </w:t>
      </w:r>
      <w:r>
        <w:rPr>
          <w:rFonts w:ascii="Arial Narrow" w:hAnsi="Arial Narrow" w:cs="Arial Narrow"/>
          <w:sz w:val="28"/>
          <w:szCs w:val="28"/>
        </w:rPr>
        <w:t xml:space="preserve">del Estado </w:t>
      </w:r>
      <w:r w:rsidRPr="001A7B75">
        <w:rPr>
          <w:rFonts w:ascii="Arial Narrow" w:hAnsi="Arial Narrow" w:cs="Arial Narrow"/>
          <w:sz w:val="28"/>
          <w:szCs w:val="28"/>
        </w:rPr>
        <w:t>en el territorio con los departamentos ministeriales.</w:t>
      </w:r>
    </w:p>
    <w:p w:rsidR="00ED61ED" w:rsidRPr="001A7B75" w:rsidRDefault="00ED61ED" w:rsidP="00ED61ED">
      <w:pPr>
        <w:widowControl w:val="0"/>
        <w:autoSpaceDE w:val="0"/>
        <w:autoSpaceDN w:val="0"/>
        <w:adjustRightInd w:val="0"/>
        <w:spacing w:line="239" w:lineRule="auto"/>
        <w:ind w:right="141"/>
        <w:jc w:val="both"/>
        <w:rPr>
          <w:rFonts w:ascii="Arial Narrow" w:hAnsi="Arial Narrow" w:cs="Arial Narrow"/>
          <w:sz w:val="28"/>
          <w:szCs w:val="28"/>
        </w:rPr>
      </w:pPr>
    </w:p>
    <w:p w:rsidR="00ED61ED" w:rsidRP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  <w:r w:rsidRPr="00ED61ED">
        <w:rPr>
          <w:rFonts w:ascii="Arial Narrow" w:hAnsi="Arial Narrow"/>
          <w:noProof/>
          <w:sz w:val="28"/>
          <w:szCs w:val="28"/>
          <w:lang w:val="es-ES"/>
        </w:rPr>
        <w:t>Este importante órgano de coordinación, en el que se evidencia el relevante papel que desempeñan las Delegaciones del Gobierno, se creó en 2003 y estuvo más de diez años sin reunirse hasta el pasado 14 de enero.</w:t>
      </w:r>
    </w:p>
    <w:p w:rsidR="00ED61ED" w:rsidRP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ED61ED" w:rsidRP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  <w:r w:rsidRPr="00ED61ED">
        <w:rPr>
          <w:rFonts w:ascii="Arial Narrow" w:hAnsi="Arial Narrow"/>
          <w:noProof/>
          <w:sz w:val="28"/>
          <w:szCs w:val="28"/>
          <w:lang w:val="es-ES"/>
        </w:rPr>
        <w:t>A la reunión de hoy han acudido los delegados del Gobierno y representantes de todos los departamentos ministeriales.</w:t>
      </w:r>
    </w:p>
    <w:p w:rsidR="00ED61ED" w:rsidRP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ED61ED" w:rsidRP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  <w:r w:rsidRPr="00ED61ED">
        <w:rPr>
          <w:rFonts w:ascii="Arial Narrow" w:hAnsi="Arial Narrow"/>
          <w:noProof/>
          <w:sz w:val="28"/>
          <w:szCs w:val="28"/>
          <w:lang w:val="es-ES"/>
        </w:rPr>
        <w:t xml:space="preserve">El ministro ha informado de las actuaciones llevadas a cabo por el Gobierno de España, en coordinación con las comunidades autónomas, para garantizar que el 31 de octubre, </w:t>
      </w:r>
      <w:r w:rsidR="00EE7364">
        <w:rPr>
          <w:rFonts w:ascii="Arial Narrow" w:hAnsi="Arial Narrow"/>
          <w:noProof/>
          <w:sz w:val="28"/>
          <w:szCs w:val="28"/>
          <w:lang w:val="es-ES"/>
        </w:rPr>
        <w:t xml:space="preserve">si se produce </w:t>
      </w:r>
      <w:r w:rsidRPr="00ED61ED">
        <w:rPr>
          <w:rFonts w:ascii="Arial Narrow" w:hAnsi="Arial Narrow"/>
          <w:noProof/>
          <w:sz w:val="28"/>
          <w:szCs w:val="28"/>
          <w:lang w:val="es-ES"/>
        </w:rPr>
        <w:t>efectiva</w:t>
      </w:r>
      <w:r w:rsidR="00EE7364">
        <w:rPr>
          <w:rFonts w:ascii="Arial Narrow" w:hAnsi="Arial Narrow"/>
          <w:noProof/>
          <w:sz w:val="28"/>
          <w:szCs w:val="28"/>
          <w:lang w:val="es-ES"/>
        </w:rPr>
        <w:t>mente</w:t>
      </w:r>
      <w:r w:rsidRPr="00ED61ED">
        <w:rPr>
          <w:rFonts w:ascii="Arial Narrow" w:hAnsi="Arial Narrow"/>
          <w:noProof/>
          <w:sz w:val="28"/>
          <w:szCs w:val="28"/>
          <w:lang w:val="es-ES"/>
        </w:rPr>
        <w:t xml:space="preserve"> la salida de Reino Unido de la Unión Europea, nuestro paí</w:t>
      </w:r>
      <w:r w:rsidR="00EE7364">
        <w:rPr>
          <w:rFonts w:ascii="Arial Narrow" w:hAnsi="Arial Narrow"/>
          <w:noProof/>
          <w:sz w:val="28"/>
          <w:szCs w:val="28"/>
          <w:lang w:val="es-ES"/>
        </w:rPr>
        <w:t>s esté</w:t>
      </w:r>
      <w:r w:rsidRPr="00ED61ED">
        <w:rPr>
          <w:rFonts w:ascii="Arial Narrow" w:hAnsi="Arial Narrow"/>
          <w:noProof/>
          <w:sz w:val="28"/>
          <w:szCs w:val="28"/>
          <w:lang w:val="es-ES"/>
        </w:rPr>
        <w:t xml:space="preserve"> preparado para afrontar las contingencias que se puedan producir en los sectores clave</w:t>
      </w:r>
      <w:r w:rsidR="00EE7364">
        <w:rPr>
          <w:rFonts w:ascii="Arial Narrow" w:hAnsi="Arial Narrow"/>
          <w:noProof/>
          <w:sz w:val="28"/>
          <w:szCs w:val="28"/>
          <w:lang w:val="es-ES"/>
        </w:rPr>
        <w:t>. También han repasado</w:t>
      </w:r>
      <w:r w:rsidRPr="00ED61ED">
        <w:rPr>
          <w:rFonts w:ascii="Arial Narrow" w:hAnsi="Arial Narrow"/>
          <w:noProof/>
          <w:sz w:val="28"/>
          <w:szCs w:val="28"/>
          <w:lang w:val="es-ES"/>
        </w:rPr>
        <w:t xml:space="preserve"> las medidas que ya se han adoptado y las que se adoptarán a corto y medio plazo. </w:t>
      </w:r>
    </w:p>
    <w:p w:rsidR="00ED61ED" w:rsidRP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ED61ED" w:rsidRDefault="00ED61ED" w:rsidP="00ED61ED">
      <w:pPr>
        <w:pStyle w:val="Piedepgina"/>
        <w:ind w:left="2127"/>
        <w:jc w:val="both"/>
        <w:rPr>
          <w:rFonts w:ascii="Arial Narrow" w:hAnsi="Arial Narrow"/>
          <w:noProof/>
          <w:sz w:val="28"/>
          <w:szCs w:val="28"/>
          <w:lang w:val="es-ES"/>
        </w:rPr>
      </w:pPr>
      <w:r w:rsidRPr="00ED61ED">
        <w:rPr>
          <w:rFonts w:ascii="Arial Narrow" w:hAnsi="Arial Narrow"/>
          <w:noProof/>
          <w:sz w:val="28"/>
          <w:szCs w:val="28"/>
          <w:lang w:val="es-ES"/>
        </w:rPr>
        <w:t>Asimismo, en la reunión se han abordado las actuaciones que se llevarán a cabo para afrontar los graves daños causados por diferentes situaciones catastróficas que han tenido lugar en varias comunidades autónomas desde el pasado mes de abril, recogidas en el Real Decreto-Ley aprobado el pasado viernes por el Consejo de Ministros.</w:t>
      </w:r>
    </w:p>
    <w:sectPr w:rsidR="00ED61ED" w:rsidSect="000E18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1274" w:bottom="1701" w:left="346" w:header="280" w:footer="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D0" w:rsidRDefault="005476D0">
      <w:r>
        <w:separator/>
      </w:r>
    </w:p>
  </w:endnote>
  <w:endnote w:type="continuationSeparator" w:id="0">
    <w:p w:rsidR="005476D0" w:rsidRDefault="0054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ED" w:rsidRDefault="00ED61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61ED" w:rsidRDefault="00ED61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685"/>
      <w:gridCol w:w="9378"/>
      <w:gridCol w:w="9378"/>
      <w:gridCol w:w="160"/>
    </w:tblGrid>
    <w:tr w:rsidR="00ED61ED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61ED" w:rsidRDefault="00ED61ED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ED61ED" w:rsidRDefault="00ED61ED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ED61ED" w:rsidRPr="00B53B25" w:rsidRDefault="00ED61ED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</w:t>
          </w:r>
          <w:hyperlink w:history="1">
            <w:r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69B98D3C" wp14:editId="0E6C26D1">
                <wp:extent cx="177971" cy="184108"/>
                <wp:effectExtent l="0" t="0" r="0" b="0"/>
                <wp:docPr id="6" name="Imagen 6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6619E89B" wp14:editId="0AFD637F">
                <wp:extent cx="233203" cy="184107"/>
                <wp:effectExtent l="0" t="0" r="0" b="0"/>
                <wp:docPr id="7" name="Imagen 7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5DEA2CE" wp14:editId="39187DFF">
                <wp:extent cx="202518" cy="183896"/>
                <wp:effectExtent l="0" t="0" r="0" b="0"/>
                <wp:docPr id="5" name="Imagen 5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7BA66C36" wp14:editId="3A9245E2">
                <wp:extent cx="208655" cy="184143"/>
                <wp:effectExtent l="0" t="0" r="0" b="0"/>
                <wp:docPr id="8" name="Imagen 8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Hipervnculo"/>
              <w:rFonts w:ascii="Arial Narrow" w:hAnsi="Arial Narrow"/>
              <w:b/>
              <w:sz w:val="20"/>
              <w:u w:val="none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ED61ED" w:rsidRPr="00ED53BC" w:rsidRDefault="00ED61ED" w:rsidP="002545CE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61ED" w:rsidRPr="00ED53BC" w:rsidRDefault="00ED61ED" w:rsidP="002545CE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ED61ED" w:rsidRDefault="00ED61ED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61ED" w:rsidRDefault="00ED61ED">
          <w:pPr>
            <w:spacing w:after="120"/>
            <w:ind w:left="74"/>
          </w:pPr>
        </w:p>
      </w:tc>
    </w:tr>
    <w:tr w:rsidR="00ED61ED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ED61ED" w:rsidRDefault="00ED61E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B422A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AB422A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ED61ED" w:rsidRPr="00563534" w:rsidRDefault="00ED61ED" w:rsidP="002545CE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ED61ED" w:rsidRPr="00563534" w:rsidRDefault="00ED61ED" w:rsidP="002545CE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ED61ED" w:rsidRDefault="00ED61ED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ED61ED" w:rsidRDefault="00ED61ED"/>
      </w:tc>
    </w:tr>
  </w:tbl>
  <w:p w:rsidR="00ED61ED" w:rsidRDefault="00ED61E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371"/>
      <w:gridCol w:w="2103"/>
    </w:tblGrid>
    <w:tr w:rsidR="00ED61ED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61ED" w:rsidRDefault="00ED61ED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ED61ED" w:rsidRPr="00ED53BC" w:rsidRDefault="00ED61ED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61ED" w:rsidRPr="00ED53BC" w:rsidRDefault="00ED61ED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61ED" w:rsidRPr="00ED53BC" w:rsidRDefault="00ED61ED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ED61ED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ED61ED" w:rsidRDefault="00ED61E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B422A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AB422A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ED61ED" w:rsidRPr="003F17DA" w:rsidRDefault="00ED61ED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188FC918" wp14:editId="5F2256F6">
                <wp:extent cx="177971" cy="184108"/>
                <wp:effectExtent l="0" t="0" r="0" b="0"/>
                <wp:docPr id="1" name="Imagen 1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436F12E1" wp14:editId="173410B7">
                <wp:extent cx="233203" cy="184107"/>
                <wp:effectExtent l="0" t="0" r="0" b="0"/>
                <wp:docPr id="2" name="Imagen 2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43720131" wp14:editId="07A47DEF">
                <wp:extent cx="202518" cy="183896"/>
                <wp:effectExtent l="0" t="0" r="0" b="0"/>
                <wp:docPr id="3" name="Imagen 3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4C7FF817" wp14:editId="645D6205">
                <wp:extent cx="208655" cy="184143"/>
                <wp:effectExtent l="0" t="0" r="0" b="0"/>
                <wp:docPr id="4" name="Imagen 4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ED61ED" w:rsidRPr="00563534" w:rsidRDefault="00ED61ED"/>
      </w:tc>
    </w:tr>
  </w:tbl>
  <w:p w:rsidR="00ED61ED" w:rsidRPr="00563534" w:rsidRDefault="00ED61ED" w:rsidP="00ED53BC">
    <w:pPr>
      <w:pStyle w:val="Piedepgina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D0" w:rsidRDefault="005476D0">
      <w:r>
        <w:separator/>
      </w:r>
    </w:p>
  </w:footnote>
  <w:footnote w:type="continuationSeparator" w:id="0">
    <w:p w:rsidR="005476D0" w:rsidRDefault="0054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ED61ED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ED61ED" w:rsidRDefault="00ED61ED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ED61ED" w:rsidRDefault="00ED61ED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ED61ED">
      <w:trPr>
        <w:cantSplit/>
        <w:trHeight w:val="40"/>
      </w:trPr>
      <w:tc>
        <w:tcPr>
          <w:tcW w:w="1346" w:type="dxa"/>
          <w:vMerge/>
        </w:tcPr>
        <w:p w:rsidR="00ED61ED" w:rsidRDefault="00ED61E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ED61ED" w:rsidRDefault="00ED61E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ED61ED" w:rsidRDefault="00ED61ED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ED61ED" w:rsidRDefault="00ED61ED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190"/>
      <w:gridCol w:w="6379"/>
    </w:tblGrid>
    <w:tr w:rsidR="00ED61ED" w:rsidTr="000E1894">
      <w:trPr>
        <w:cantSplit/>
        <w:trHeight w:val="543"/>
      </w:trPr>
      <w:tc>
        <w:tcPr>
          <w:tcW w:w="1346" w:type="dxa"/>
          <w:vMerge w:val="restart"/>
        </w:tcPr>
        <w:p w:rsidR="00ED61ED" w:rsidRDefault="00ED61ED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630918677" r:id="rId2"/>
            </w:object>
          </w:r>
        </w:p>
      </w:tc>
      <w:tc>
        <w:tcPr>
          <w:tcW w:w="3190" w:type="dxa"/>
          <w:vMerge w:val="restart"/>
        </w:tcPr>
        <w:p w:rsidR="00ED61ED" w:rsidRDefault="00ED61ED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D61ED" w:rsidRDefault="00ED61ED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POLÍTICA TERRITORIAL</w:t>
          </w:r>
        </w:p>
        <w:p w:rsidR="00ED61ED" w:rsidRDefault="00ED61ED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FUNCIÓN PÚBLICA</w:t>
          </w:r>
        </w:p>
      </w:tc>
      <w:tc>
        <w:tcPr>
          <w:tcW w:w="6379" w:type="dxa"/>
          <w:vAlign w:val="center"/>
        </w:tcPr>
        <w:p w:rsidR="00ED61ED" w:rsidRPr="000E1894" w:rsidRDefault="00ED61ED" w:rsidP="00ED61ED">
          <w:pPr>
            <w:pStyle w:val="Encabezado"/>
            <w:tabs>
              <w:tab w:val="clear" w:pos="4252"/>
              <w:tab w:val="left" w:pos="6521"/>
            </w:tabs>
            <w:spacing w:after="240"/>
            <w:ind w:right="923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 xml:space="preserve">                                                                                                  GABINETE DE PRENSA</w:t>
          </w:r>
        </w:p>
      </w:tc>
    </w:tr>
    <w:tr w:rsidR="00ED61ED" w:rsidTr="000E1894">
      <w:trPr>
        <w:cantSplit/>
        <w:trHeight w:val="40"/>
      </w:trPr>
      <w:tc>
        <w:tcPr>
          <w:tcW w:w="1346" w:type="dxa"/>
          <w:vMerge/>
        </w:tcPr>
        <w:p w:rsidR="00ED61ED" w:rsidRDefault="00ED61E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190" w:type="dxa"/>
          <w:vMerge/>
        </w:tcPr>
        <w:p w:rsidR="00ED61ED" w:rsidRDefault="00ED61E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379" w:type="dxa"/>
          <w:vAlign w:val="center"/>
        </w:tcPr>
        <w:p w:rsidR="00ED61ED" w:rsidRDefault="00ED61ED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ED61ED" w:rsidRDefault="00ED61ED" w:rsidP="000E1894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9D312A1"/>
    <w:multiLevelType w:val="hybridMultilevel"/>
    <w:tmpl w:val="ADEE0854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A5347FB"/>
    <w:multiLevelType w:val="hybridMultilevel"/>
    <w:tmpl w:val="3CCAA300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C601C"/>
    <w:multiLevelType w:val="hybridMultilevel"/>
    <w:tmpl w:val="DA5A60CA"/>
    <w:lvl w:ilvl="0" w:tplc="0C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2A9D09E3"/>
    <w:multiLevelType w:val="hybridMultilevel"/>
    <w:tmpl w:val="0E66C2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2D39"/>
    <w:multiLevelType w:val="hybridMultilevel"/>
    <w:tmpl w:val="66EA82D8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8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3A964480"/>
    <w:multiLevelType w:val="hybridMultilevel"/>
    <w:tmpl w:val="8E88707A"/>
    <w:lvl w:ilvl="0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0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109F0"/>
    <w:multiLevelType w:val="hybridMultilevel"/>
    <w:tmpl w:val="FC7EF144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401775EE"/>
    <w:multiLevelType w:val="hybridMultilevel"/>
    <w:tmpl w:val="E0826952"/>
    <w:lvl w:ilvl="0" w:tplc="0C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A7405"/>
    <w:multiLevelType w:val="hybridMultilevel"/>
    <w:tmpl w:val="73A895CE"/>
    <w:lvl w:ilvl="0" w:tplc="0C0A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>
    <w:nsid w:val="567E58BA"/>
    <w:multiLevelType w:val="hybridMultilevel"/>
    <w:tmpl w:val="4D482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F3915"/>
    <w:multiLevelType w:val="hybridMultilevel"/>
    <w:tmpl w:val="1974DA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16590"/>
    <w:multiLevelType w:val="hybridMultilevel"/>
    <w:tmpl w:val="DCFEA3E8"/>
    <w:lvl w:ilvl="0" w:tplc="3A3EA970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B1C68"/>
    <w:multiLevelType w:val="hybridMultilevel"/>
    <w:tmpl w:val="F7E0F7EE"/>
    <w:lvl w:ilvl="0" w:tplc="9B988D58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8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34468"/>
    <w:multiLevelType w:val="hybridMultilevel"/>
    <w:tmpl w:val="D82A4CF4"/>
    <w:lvl w:ilvl="0" w:tplc="A0D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C6E56"/>
    <w:multiLevelType w:val="hybridMultilevel"/>
    <w:tmpl w:val="FFE238EE"/>
    <w:lvl w:ilvl="0" w:tplc="B9C08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B9C089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2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74867"/>
    <w:multiLevelType w:val="hybridMultilevel"/>
    <w:tmpl w:val="A0D20ED0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17"/>
  </w:num>
  <w:num w:numId="4">
    <w:abstractNumId w:val="44"/>
  </w:num>
  <w:num w:numId="5">
    <w:abstractNumId w:val="0"/>
  </w:num>
  <w:num w:numId="6">
    <w:abstractNumId w:val="1"/>
  </w:num>
  <w:num w:numId="7">
    <w:abstractNumId w:val="36"/>
  </w:num>
  <w:num w:numId="8">
    <w:abstractNumId w:val="8"/>
  </w:num>
  <w:num w:numId="9">
    <w:abstractNumId w:val="11"/>
  </w:num>
  <w:num w:numId="10">
    <w:abstractNumId w:val="13"/>
  </w:num>
  <w:num w:numId="11">
    <w:abstractNumId w:val="23"/>
  </w:num>
  <w:num w:numId="12">
    <w:abstractNumId w:val="1"/>
  </w:num>
  <w:num w:numId="13">
    <w:abstractNumId w:val="10"/>
  </w:num>
  <w:num w:numId="14">
    <w:abstractNumId w:val="6"/>
  </w:num>
  <w:num w:numId="15">
    <w:abstractNumId w:val="18"/>
  </w:num>
  <w:num w:numId="16">
    <w:abstractNumId w:val="30"/>
  </w:num>
  <w:num w:numId="17">
    <w:abstractNumId w:val="7"/>
  </w:num>
  <w:num w:numId="18">
    <w:abstractNumId w:val="41"/>
  </w:num>
  <w:num w:numId="19">
    <w:abstractNumId w:val="14"/>
  </w:num>
  <w:num w:numId="20">
    <w:abstractNumId w:val="28"/>
  </w:num>
  <w:num w:numId="21">
    <w:abstractNumId w:val="42"/>
  </w:num>
  <w:num w:numId="22">
    <w:abstractNumId w:val="33"/>
  </w:num>
  <w:num w:numId="23">
    <w:abstractNumId w:val="27"/>
  </w:num>
  <w:num w:numId="24">
    <w:abstractNumId w:val="26"/>
  </w:num>
  <w:num w:numId="25">
    <w:abstractNumId w:val="34"/>
  </w:num>
  <w:num w:numId="26">
    <w:abstractNumId w:val="20"/>
  </w:num>
  <w:num w:numId="27">
    <w:abstractNumId w:val="35"/>
  </w:num>
  <w:num w:numId="28">
    <w:abstractNumId w:val="24"/>
  </w:num>
  <w:num w:numId="29">
    <w:abstractNumId w:val="5"/>
  </w:num>
  <w:num w:numId="30">
    <w:abstractNumId w:val="38"/>
  </w:num>
  <w:num w:numId="31">
    <w:abstractNumId w:val="4"/>
  </w:num>
  <w:num w:numId="32">
    <w:abstractNumId w:val="45"/>
  </w:num>
  <w:num w:numId="33">
    <w:abstractNumId w:val="2"/>
  </w:num>
  <w:num w:numId="34">
    <w:abstractNumId w:val="29"/>
  </w:num>
  <w:num w:numId="35">
    <w:abstractNumId w:val="32"/>
  </w:num>
  <w:num w:numId="36">
    <w:abstractNumId w:val="37"/>
  </w:num>
  <w:num w:numId="37">
    <w:abstractNumId w:val="21"/>
  </w:num>
  <w:num w:numId="38">
    <w:abstractNumId w:val="3"/>
  </w:num>
  <w:num w:numId="39">
    <w:abstractNumId w:val="43"/>
  </w:num>
  <w:num w:numId="40">
    <w:abstractNumId w:val="40"/>
  </w:num>
  <w:num w:numId="41">
    <w:abstractNumId w:val="31"/>
  </w:num>
  <w:num w:numId="42">
    <w:abstractNumId w:val="39"/>
  </w:num>
  <w:num w:numId="43">
    <w:abstractNumId w:val="22"/>
  </w:num>
  <w:num w:numId="44">
    <w:abstractNumId w:val="9"/>
  </w:num>
  <w:num w:numId="45">
    <w:abstractNumId w:val="19"/>
  </w:num>
  <w:num w:numId="46">
    <w:abstractNumId w:val="15"/>
  </w:num>
  <w:num w:numId="47">
    <w:abstractNumId w:val="1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7BF4"/>
    <w:rsid w:val="0001496A"/>
    <w:rsid w:val="00020343"/>
    <w:rsid w:val="00022C73"/>
    <w:rsid w:val="000236E7"/>
    <w:rsid w:val="000253A7"/>
    <w:rsid w:val="00025625"/>
    <w:rsid w:val="00025FD2"/>
    <w:rsid w:val="00027FA1"/>
    <w:rsid w:val="000327FE"/>
    <w:rsid w:val="00035376"/>
    <w:rsid w:val="0003615A"/>
    <w:rsid w:val="00042942"/>
    <w:rsid w:val="0005265F"/>
    <w:rsid w:val="00054EC0"/>
    <w:rsid w:val="00071994"/>
    <w:rsid w:val="000A7BEA"/>
    <w:rsid w:val="000C1117"/>
    <w:rsid w:val="000C7FA0"/>
    <w:rsid w:val="000D035E"/>
    <w:rsid w:val="000D1A2A"/>
    <w:rsid w:val="000E1894"/>
    <w:rsid w:val="000E1C2A"/>
    <w:rsid w:val="000E2AD6"/>
    <w:rsid w:val="000E47E8"/>
    <w:rsid w:val="000E5254"/>
    <w:rsid w:val="000E65B4"/>
    <w:rsid w:val="000F15DD"/>
    <w:rsid w:val="000F5289"/>
    <w:rsid w:val="00103EB4"/>
    <w:rsid w:val="001047CA"/>
    <w:rsid w:val="00110187"/>
    <w:rsid w:val="0012020A"/>
    <w:rsid w:val="00120E2A"/>
    <w:rsid w:val="0012398B"/>
    <w:rsid w:val="00134A12"/>
    <w:rsid w:val="001350C5"/>
    <w:rsid w:val="00143ECE"/>
    <w:rsid w:val="00145927"/>
    <w:rsid w:val="00153EFF"/>
    <w:rsid w:val="00161367"/>
    <w:rsid w:val="001630B7"/>
    <w:rsid w:val="00163BF8"/>
    <w:rsid w:val="00170DB9"/>
    <w:rsid w:val="001778F0"/>
    <w:rsid w:val="0019208E"/>
    <w:rsid w:val="0019632B"/>
    <w:rsid w:val="001964EB"/>
    <w:rsid w:val="001A1444"/>
    <w:rsid w:val="001A1C25"/>
    <w:rsid w:val="001A33CB"/>
    <w:rsid w:val="001A4BA9"/>
    <w:rsid w:val="001B199C"/>
    <w:rsid w:val="001B25EB"/>
    <w:rsid w:val="001B64DE"/>
    <w:rsid w:val="001C41A3"/>
    <w:rsid w:val="001C532F"/>
    <w:rsid w:val="001C6091"/>
    <w:rsid w:val="001D12ED"/>
    <w:rsid w:val="001D18EC"/>
    <w:rsid w:val="001D4285"/>
    <w:rsid w:val="001E1548"/>
    <w:rsid w:val="001E28CC"/>
    <w:rsid w:val="001F17B8"/>
    <w:rsid w:val="001F602C"/>
    <w:rsid w:val="001F65B5"/>
    <w:rsid w:val="001F6ABF"/>
    <w:rsid w:val="001F765D"/>
    <w:rsid w:val="00201309"/>
    <w:rsid w:val="002024A4"/>
    <w:rsid w:val="00207791"/>
    <w:rsid w:val="00210123"/>
    <w:rsid w:val="0021516E"/>
    <w:rsid w:val="002161E5"/>
    <w:rsid w:val="00223E48"/>
    <w:rsid w:val="00224944"/>
    <w:rsid w:val="00224F74"/>
    <w:rsid w:val="0023679A"/>
    <w:rsid w:val="00236989"/>
    <w:rsid w:val="00237B83"/>
    <w:rsid w:val="002412DD"/>
    <w:rsid w:val="002421FC"/>
    <w:rsid w:val="002436D1"/>
    <w:rsid w:val="00244954"/>
    <w:rsid w:val="00247E66"/>
    <w:rsid w:val="00252993"/>
    <w:rsid w:val="00253C21"/>
    <w:rsid w:val="002545CE"/>
    <w:rsid w:val="00256ECC"/>
    <w:rsid w:val="00261E77"/>
    <w:rsid w:val="00261F78"/>
    <w:rsid w:val="00263530"/>
    <w:rsid w:val="00263A9E"/>
    <w:rsid w:val="002720CF"/>
    <w:rsid w:val="00281B2E"/>
    <w:rsid w:val="002A2626"/>
    <w:rsid w:val="002A27E8"/>
    <w:rsid w:val="002A319D"/>
    <w:rsid w:val="002A551E"/>
    <w:rsid w:val="002A78E2"/>
    <w:rsid w:val="002B168C"/>
    <w:rsid w:val="002B5A20"/>
    <w:rsid w:val="002C29D7"/>
    <w:rsid w:val="002C4EFC"/>
    <w:rsid w:val="002D7820"/>
    <w:rsid w:val="002E1107"/>
    <w:rsid w:val="002E1B57"/>
    <w:rsid w:val="002E7C5F"/>
    <w:rsid w:val="002F0AE6"/>
    <w:rsid w:val="002F3004"/>
    <w:rsid w:val="002F42A1"/>
    <w:rsid w:val="002F5D46"/>
    <w:rsid w:val="003020F4"/>
    <w:rsid w:val="00302E3F"/>
    <w:rsid w:val="00303462"/>
    <w:rsid w:val="00311DA5"/>
    <w:rsid w:val="00314359"/>
    <w:rsid w:val="00315D16"/>
    <w:rsid w:val="00322582"/>
    <w:rsid w:val="003326BE"/>
    <w:rsid w:val="003424DA"/>
    <w:rsid w:val="00353F88"/>
    <w:rsid w:val="00356E16"/>
    <w:rsid w:val="00357AF2"/>
    <w:rsid w:val="003708A9"/>
    <w:rsid w:val="00374331"/>
    <w:rsid w:val="0039161F"/>
    <w:rsid w:val="00391C0A"/>
    <w:rsid w:val="003A0090"/>
    <w:rsid w:val="003A06DC"/>
    <w:rsid w:val="003A469E"/>
    <w:rsid w:val="003A58AF"/>
    <w:rsid w:val="003C3F4F"/>
    <w:rsid w:val="003D0050"/>
    <w:rsid w:val="003D266E"/>
    <w:rsid w:val="003E1C05"/>
    <w:rsid w:val="003E1CD6"/>
    <w:rsid w:val="003F17DA"/>
    <w:rsid w:val="003F6CF4"/>
    <w:rsid w:val="004016BA"/>
    <w:rsid w:val="004116F6"/>
    <w:rsid w:val="00412903"/>
    <w:rsid w:val="00414101"/>
    <w:rsid w:val="0041731A"/>
    <w:rsid w:val="00420E22"/>
    <w:rsid w:val="00421BEA"/>
    <w:rsid w:val="00426C8C"/>
    <w:rsid w:val="00437AAB"/>
    <w:rsid w:val="00440100"/>
    <w:rsid w:val="0044337F"/>
    <w:rsid w:val="0044391D"/>
    <w:rsid w:val="00455516"/>
    <w:rsid w:val="004656EE"/>
    <w:rsid w:val="00465F03"/>
    <w:rsid w:val="004767A0"/>
    <w:rsid w:val="004921A5"/>
    <w:rsid w:val="0049543F"/>
    <w:rsid w:val="00496D0B"/>
    <w:rsid w:val="004B3D4B"/>
    <w:rsid w:val="004B57BC"/>
    <w:rsid w:val="004C13E6"/>
    <w:rsid w:val="004C4AD5"/>
    <w:rsid w:val="004C5C74"/>
    <w:rsid w:val="004D06B4"/>
    <w:rsid w:val="004D3E2C"/>
    <w:rsid w:val="004D55CE"/>
    <w:rsid w:val="004F65C9"/>
    <w:rsid w:val="00500E8F"/>
    <w:rsid w:val="00511E4A"/>
    <w:rsid w:val="00521BEC"/>
    <w:rsid w:val="005343E9"/>
    <w:rsid w:val="00534E32"/>
    <w:rsid w:val="005413C8"/>
    <w:rsid w:val="0054140D"/>
    <w:rsid w:val="005476D0"/>
    <w:rsid w:val="00551109"/>
    <w:rsid w:val="00563534"/>
    <w:rsid w:val="00565B42"/>
    <w:rsid w:val="0057406C"/>
    <w:rsid w:val="0057439A"/>
    <w:rsid w:val="00574754"/>
    <w:rsid w:val="005843B9"/>
    <w:rsid w:val="005877A5"/>
    <w:rsid w:val="00591082"/>
    <w:rsid w:val="00593CDC"/>
    <w:rsid w:val="005945F6"/>
    <w:rsid w:val="005A1E01"/>
    <w:rsid w:val="005A38C0"/>
    <w:rsid w:val="005A6181"/>
    <w:rsid w:val="005B2EDF"/>
    <w:rsid w:val="005C67F2"/>
    <w:rsid w:val="005D42CE"/>
    <w:rsid w:val="005E5D1E"/>
    <w:rsid w:val="005F531E"/>
    <w:rsid w:val="005F5711"/>
    <w:rsid w:val="00603D68"/>
    <w:rsid w:val="00603DFF"/>
    <w:rsid w:val="00606058"/>
    <w:rsid w:val="0060711C"/>
    <w:rsid w:val="006123F1"/>
    <w:rsid w:val="00615EB9"/>
    <w:rsid w:val="006241F6"/>
    <w:rsid w:val="00624D9C"/>
    <w:rsid w:val="00624DC5"/>
    <w:rsid w:val="00637899"/>
    <w:rsid w:val="00653C74"/>
    <w:rsid w:val="0066570B"/>
    <w:rsid w:val="00667EE8"/>
    <w:rsid w:val="006842EC"/>
    <w:rsid w:val="006A37E8"/>
    <w:rsid w:val="006A5D87"/>
    <w:rsid w:val="006A5F53"/>
    <w:rsid w:val="006C0F7F"/>
    <w:rsid w:val="006C14D9"/>
    <w:rsid w:val="006C7609"/>
    <w:rsid w:val="006C7E93"/>
    <w:rsid w:val="006D1DD3"/>
    <w:rsid w:val="006E4769"/>
    <w:rsid w:val="006E7674"/>
    <w:rsid w:val="006F0529"/>
    <w:rsid w:val="0070663F"/>
    <w:rsid w:val="007075FF"/>
    <w:rsid w:val="0071352C"/>
    <w:rsid w:val="00715BA4"/>
    <w:rsid w:val="0071674E"/>
    <w:rsid w:val="00722701"/>
    <w:rsid w:val="007250C3"/>
    <w:rsid w:val="00732210"/>
    <w:rsid w:val="00735798"/>
    <w:rsid w:val="00735964"/>
    <w:rsid w:val="0073681D"/>
    <w:rsid w:val="00736BF9"/>
    <w:rsid w:val="00736DE3"/>
    <w:rsid w:val="00743BCE"/>
    <w:rsid w:val="00745825"/>
    <w:rsid w:val="00745DD4"/>
    <w:rsid w:val="0074633D"/>
    <w:rsid w:val="00750123"/>
    <w:rsid w:val="0075241F"/>
    <w:rsid w:val="00755662"/>
    <w:rsid w:val="007567FD"/>
    <w:rsid w:val="00757938"/>
    <w:rsid w:val="00761150"/>
    <w:rsid w:val="00763B45"/>
    <w:rsid w:val="00767109"/>
    <w:rsid w:val="00772B89"/>
    <w:rsid w:val="00774547"/>
    <w:rsid w:val="00777DAA"/>
    <w:rsid w:val="007807F8"/>
    <w:rsid w:val="00782060"/>
    <w:rsid w:val="00795D69"/>
    <w:rsid w:val="007A2451"/>
    <w:rsid w:val="007A5AFB"/>
    <w:rsid w:val="007B0F92"/>
    <w:rsid w:val="007C45EB"/>
    <w:rsid w:val="007D35ED"/>
    <w:rsid w:val="007D7E37"/>
    <w:rsid w:val="007D7FB0"/>
    <w:rsid w:val="007E253A"/>
    <w:rsid w:val="007E7523"/>
    <w:rsid w:val="007F1FC8"/>
    <w:rsid w:val="007F3868"/>
    <w:rsid w:val="007F4247"/>
    <w:rsid w:val="0080322A"/>
    <w:rsid w:val="00806593"/>
    <w:rsid w:val="008101C3"/>
    <w:rsid w:val="00810BF1"/>
    <w:rsid w:val="00813A68"/>
    <w:rsid w:val="00813F4A"/>
    <w:rsid w:val="00814F1E"/>
    <w:rsid w:val="00815408"/>
    <w:rsid w:val="00817FFE"/>
    <w:rsid w:val="00820F6F"/>
    <w:rsid w:val="00837217"/>
    <w:rsid w:val="00837699"/>
    <w:rsid w:val="0084161B"/>
    <w:rsid w:val="00846B86"/>
    <w:rsid w:val="0085122E"/>
    <w:rsid w:val="0085155F"/>
    <w:rsid w:val="00861B9B"/>
    <w:rsid w:val="008628A5"/>
    <w:rsid w:val="00870FC2"/>
    <w:rsid w:val="00873C47"/>
    <w:rsid w:val="008833B2"/>
    <w:rsid w:val="0089127E"/>
    <w:rsid w:val="008A216A"/>
    <w:rsid w:val="008A5360"/>
    <w:rsid w:val="008A68DE"/>
    <w:rsid w:val="008B4634"/>
    <w:rsid w:val="008B4788"/>
    <w:rsid w:val="008B6A31"/>
    <w:rsid w:val="008B733E"/>
    <w:rsid w:val="008E5658"/>
    <w:rsid w:val="008E6B27"/>
    <w:rsid w:val="008F1DC4"/>
    <w:rsid w:val="008F3950"/>
    <w:rsid w:val="00901A78"/>
    <w:rsid w:val="00905236"/>
    <w:rsid w:val="009103C6"/>
    <w:rsid w:val="00911AFF"/>
    <w:rsid w:val="00916DB0"/>
    <w:rsid w:val="0092196A"/>
    <w:rsid w:val="00922A17"/>
    <w:rsid w:val="00923914"/>
    <w:rsid w:val="00931B78"/>
    <w:rsid w:val="00937B54"/>
    <w:rsid w:val="009429BA"/>
    <w:rsid w:val="00944220"/>
    <w:rsid w:val="00947C5B"/>
    <w:rsid w:val="009510DC"/>
    <w:rsid w:val="0096508A"/>
    <w:rsid w:val="0097380E"/>
    <w:rsid w:val="009742C5"/>
    <w:rsid w:val="009774E2"/>
    <w:rsid w:val="00982BC8"/>
    <w:rsid w:val="00990A76"/>
    <w:rsid w:val="00991E74"/>
    <w:rsid w:val="009950E6"/>
    <w:rsid w:val="009971DB"/>
    <w:rsid w:val="009A382B"/>
    <w:rsid w:val="009C1BBD"/>
    <w:rsid w:val="009C6577"/>
    <w:rsid w:val="009D41CF"/>
    <w:rsid w:val="009E4934"/>
    <w:rsid w:val="009F3B6C"/>
    <w:rsid w:val="00A03410"/>
    <w:rsid w:val="00A0758E"/>
    <w:rsid w:val="00A10784"/>
    <w:rsid w:val="00A156D6"/>
    <w:rsid w:val="00A15B16"/>
    <w:rsid w:val="00A2343D"/>
    <w:rsid w:val="00A24D38"/>
    <w:rsid w:val="00A3004D"/>
    <w:rsid w:val="00A52CC3"/>
    <w:rsid w:val="00A53BDF"/>
    <w:rsid w:val="00A567E7"/>
    <w:rsid w:val="00A57668"/>
    <w:rsid w:val="00A65ADD"/>
    <w:rsid w:val="00A6664C"/>
    <w:rsid w:val="00A80EEE"/>
    <w:rsid w:val="00A92799"/>
    <w:rsid w:val="00AA37F8"/>
    <w:rsid w:val="00AB422A"/>
    <w:rsid w:val="00AB566B"/>
    <w:rsid w:val="00AB72EA"/>
    <w:rsid w:val="00AD02FD"/>
    <w:rsid w:val="00AD5EAE"/>
    <w:rsid w:val="00AD5FF3"/>
    <w:rsid w:val="00AD73E8"/>
    <w:rsid w:val="00AF6685"/>
    <w:rsid w:val="00B107C7"/>
    <w:rsid w:val="00B16649"/>
    <w:rsid w:val="00B258B8"/>
    <w:rsid w:val="00B4057B"/>
    <w:rsid w:val="00B50FF9"/>
    <w:rsid w:val="00B51910"/>
    <w:rsid w:val="00B530E9"/>
    <w:rsid w:val="00B53B25"/>
    <w:rsid w:val="00B615B5"/>
    <w:rsid w:val="00B71CF5"/>
    <w:rsid w:val="00B7502E"/>
    <w:rsid w:val="00B754C5"/>
    <w:rsid w:val="00B800B4"/>
    <w:rsid w:val="00B81427"/>
    <w:rsid w:val="00B81B0B"/>
    <w:rsid w:val="00B845F3"/>
    <w:rsid w:val="00B865C2"/>
    <w:rsid w:val="00B86B3D"/>
    <w:rsid w:val="00B94FCD"/>
    <w:rsid w:val="00BA2961"/>
    <w:rsid w:val="00BB22A7"/>
    <w:rsid w:val="00BB55D9"/>
    <w:rsid w:val="00BC5471"/>
    <w:rsid w:val="00BC5D55"/>
    <w:rsid w:val="00BE3384"/>
    <w:rsid w:val="00BE75B8"/>
    <w:rsid w:val="00BF03E5"/>
    <w:rsid w:val="00BF1296"/>
    <w:rsid w:val="00C0137C"/>
    <w:rsid w:val="00C0256E"/>
    <w:rsid w:val="00C048F5"/>
    <w:rsid w:val="00C05E07"/>
    <w:rsid w:val="00C10DDF"/>
    <w:rsid w:val="00C13155"/>
    <w:rsid w:val="00C1760F"/>
    <w:rsid w:val="00C17A1E"/>
    <w:rsid w:val="00C207F2"/>
    <w:rsid w:val="00C2321E"/>
    <w:rsid w:val="00C24429"/>
    <w:rsid w:val="00C343A9"/>
    <w:rsid w:val="00C36A4A"/>
    <w:rsid w:val="00C44FE6"/>
    <w:rsid w:val="00C46A31"/>
    <w:rsid w:val="00C54C70"/>
    <w:rsid w:val="00C56417"/>
    <w:rsid w:val="00C64C42"/>
    <w:rsid w:val="00C652E8"/>
    <w:rsid w:val="00C6591F"/>
    <w:rsid w:val="00C73A7A"/>
    <w:rsid w:val="00C73EF2"/>
    <w:rsid w:val="00C9522E"/>
    <w:rsid w:val="00CA478F"/>
    <w:rsid w:val="00CB149A"/>
    <w:rsid w:val="00CB772F"/>
    <w:rsid w:val="00CC359B"/>
    <w:rsid w:val="00CD4CC5"/>
    <w:rsid w:val="00CF347C"/>
    <w:rsid w:val="00CF609F"/>
    <w:rsid w:val="00D00764"/>
    <w:rsid w:val="00D02598"/>
    <w:rsid w:val="00D17993"/>
    <w:rsid w:val="00D17B0A"/>
    <w:rsid w:val="00D23013"/>
    <w:rsid w:val="00D256AD"/>
    <w:rsid w:val="00D262DC"/>
    <w:rsid w:val="00D27080"/>
    <w:rsid w:val="00D31991"/>
    <w:rsid w:val="00D31CEC"/>
    <w:rsid w:val="00D41B9E"/>
    <w:rsid w:val="00D42800"/>
    <w:rsid w:val="00D53BC1"/>
    <w:rsid w:val="00D5402A"/>
    <w:rsid w:val="00D5446A"/>
    <w:rsid w:val="00D57CB9"/>
    <w:rsid w:val="00D8472E"/>
    <w:rsid w:val="00D857E9"/>
    <w:rsid w:val="00D94259"/>
    <w:rsid w:val="00D94642"/>
    <w:rsid w:val="00DA45A8"/>
    <w:rsid w:val="00DB0CC3"/>
    <w:rsid w:val="00DB27E1"/>
    <w:rsid w:val="00DB2C48"/>
    <w:rsid w:val="00DB7575"/>
    <w:rsid w:val="00DC1CAA"/>
    <w:rsid w:val="00DC3139"/>
    <w:rsid w:val="00DE3488"/>
    <w:rsid w:val="00DE7D66"/>
    <w:rsid w:val="00E03EDC"/>
    <w:rsid w:val="00E06997"/>
    <w:rsid w:val="00E13ED6"/>
    <w:rsid w:val="00E2208F"/>
    <w:rsid w:val="00E223D2"/>
    <w:rsid w:val="00E22EBF"/>
    <w:rsid w:val="00E23CFE"/>
    <w:rsid w:val="00E33B3F"/>
    <w:rsid w:val="00E43FFF"/>
    <w:rsid w:val="00E45184"/>
    <w:rsid w:val="00E539DA"/>
    <w:rsid w:val="00E551C0"/>
    <w:rsid w:val="00E5698C"/>
    <w:rsid w:val="00E5715F"/>
    <w:rsid w:val="00E64686"/>
    <w:rsid w:val="00E66000"/>
    <w:rsid w:val="00E672AA"/>
    <w:rsid w:val="00E6774F"/>
    <w:rsid w:val="00E71AAF"/>
    <w:rsid w:val="00E7681C"/>
    <w:rsid w:val="00E76BF4"/>
    <w:rsid w:val="00E80573"/>
    <w:rsid w:val="00E90278"/>
    <w:rsid w:val="00E917F9"/>
    <w:rsid w:val="00EA5A19"/>
    <w:rsid w:val="00EA6868"/>
    <w:rsid w:val="00EB00B1"/>
    <w:rsid w:val="00EB0BCB"/>
    <w:rsid w:val="00EB36D9"/>
    <w:rsid w:val="00EB638A"/>
    <w:rsid w:val="00EB6F10"/>
    <w:rsid w:val="00ED010D"/>
    <w:rsid w:val="00ED53BC"/>
    <w:rsid w:val="00ED61ED"/>
    <w:rsid w:val="00ED68AD"/>
    <w:rsid w:val="00EE022C"/>
    <w:rsid w:val="00EE2F42"/>
    <w:rsid w:val="00EE6407"/>
    <w:rsid w:val="00EE6C13"/>
    <w:rsid w:val="00EE7364"/>
    <w:rsid w:val="00EE7B8D"/>
    <w:rsid w:val="00EF11D7"/>
    <w:rsid w:val="00F00EDD"/>
    <w:rsid w:val="00F01114"/>
    <w:rsid w:val="00F0286A"/>
    <w:rsid w:val="00F048A1"/>
    <w:rsid w:val="00F13FC6"/>
    <w:rsid w:val="00F144F1"/>
    <w:rsid w:val="00F1687B"/>
    <w:rsid w:val="00F4155E"/>
    <w:rsid w:val="00F43411"/>
    <w:rsid w:val="00F54ED2"/>
    <w:rsid w:val="00F62A3C"/>
    <w:rsid w:val="00F64C3B"/>
    <w:rsid w:val="00F66E74"/>
    <w:rsid w:val="00F738DA"/>
    <w:rsid w:val="00F7501B"/>
    <w:rsid w:val="00F8022F"/>
    <w:rsid w:val="00F95F9A"/>
    <w:rsid w:val="00F96EF7"/>
    <w:rsid w:val="00F97CC0"/>
    <w:rsid w:val="00FA7585"/>
    <w:rsid w:val="00FB13FB"/>
    <w:rsid w:val="00FB44AC"/>
    <w:rsid w:val="00FD0F52"/>
    <w:rsid w:val="00FD1E2F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77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77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EC0"/>
    <w:rPr>
      <w:rFonts w:ascii="Courier" w:hAnsi="Courier" w:cs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77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77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EC0"/>
    <w:rPr>
      <w:rFonts w:ascii="Courier" w:hAnsi="Courier"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5101-CA3C-4BD1-9CCF-E013E327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2029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Mª LUISA PÉREZ-VILLANUEVA DEL CAZ</cp:lastModifiedBy>
  <cp:revision>2</cp:revision>
  <cp:lastPrinted>2019-01-24T16:31:00Z</cp:lastPrinted>
  <dcterms:created xsi:type="dcterms:W3CDTF">2019-09-25T10:07:00Z</dcterms:created>
  <dcterms:modified xsi:type="dcterms:W3CDTF">2019-09-25T10:07:00Z</dcterms:modified>
</cp:coreProperties>
</file>